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34F876" w14:textId="77777777" w:rsidR="00FF02AC" w:rsidRDefault="00FF02AC">
      <w:pPr>
        <w:spacing w:line="480" w:lineRule="auto"/>
        <w:jc w:val="center"/>
        <w:rPr>
          <w:b/>
        </w:rPr>
      </w:pPr>
    </w:p>
    <w:p w14:paraId="112C9BC4" w14:textId="77777777" w:rsidR="00FF02AC" w:rsidRDefault="00FF02AC">
      <w:pPr>
        <w:spacing w:line="480" w:lineRule="auto"/>
        <w:jc w:val="center"/>
        <w:rPr>
          <w:b/>
        </w:rPr>
      </w:pPr>
    </w:p>
    <w:p w14:paraId="776059F5" w14:textId="77777777" w:rsidR="00FF02AC" w:rsidRDefault="00FF02AC">
      <w:pPr>
        <w:spacing w:line="480" w:lineRule="auto"/>
        <w:jc w:val="center"/>
        <w:rPr>
          <w:b/>
        </w:rPr>
      </w:pPr>
    </w:p>
    <w:p w14:paraId="46680F34" w14:textId="77777777" w:rsidR="00FF02AC" w:rsidRDefault="00FF02AC">
      <w:pPr>
        <w:spacing w:line="480" w:lineRule="auto"/>
        <w:jc w:val="center"/>
        <w:rPr>
          <w:b/>
        </w:rPr>
      </w:pPr>
    </w:p>
    <w:p w14:paraId="211C19D4" w14:textId="77777777" w:rsidR="00FF02AC" w:rsidRDefault="00FF02AC">
      <w:pPr>
        <w:spacing w:line="480" w:lineRule="auto"/>
        <w:jc w:val="center"/>
        <w:rPr>
          <w:b/>
        </w:rPr>
      </w:pPr>
    </w:p>
    <w:p w14:paraId="4E17AEFC" w14:textId="77777777" w:rsidR="00FF02AC" w:rsidRDefault="00FF02AC">
      <w:pPr>
        <w:spacing w:line="480" w:lineRule="auto"/>
        <w:jc w:val="center"/>
        <w:rPr>
          <w:b/>
        </w:rPr>
      </w:pPr>
    </w:p>
    <w:p w14:paraId="7DA0D2A2" w14:textId="77777777" w:rsidR="00FF02AC" w:rsidRDefault="00FF02AC">
      <w:pPr>
        <w:spacing w:line="480" w:lineRule="auto"/>
        <w:jc w:val="center"/>
        <w:rPr>
          <w:b/>
        </w:rPr>
      </w:pPr>
    </w:p>
    <w:p w14:paraId="1DBD8FEF" w14:textId="77777777" w:rsidR="00FF02AC" w:rsidRDefault="00207BA9">
      <w:pPr>
        <w:spacing w:line="480" w:lineRule="auto"/>
        <w:jc w:val="center"/>
        <w:rPr>
          <w:b/>
        </w:rPr>
      </w:pPr>
      <w:r>
        <w:rPr>
          <w:b/>
        </w:rPr>
        <w:t>Effect of Interest Rate and Exchange Rate on Economic Growth in Canada</w:t>
      </w:r>
    </w:p>
    <w:p w14:paraId="0C4779B3" w14:textId="77777777" w:rsidR="00FF02AC" w:rsidRDefault="00207BA9">
      <w:pPr>
        <w:spacing w:line="480" w:lineRule="auto"/>
        <w:jc w:val="center"/>
      </w:pPr>
      <w:r>
        <w:t>Student Name:</w:t>
      </w:r>
    </w:p>
    <w:p w14:paraId="2D149282" w14:textId="77777777" w:rsidR="00FF02AC" w:rsidRDefault="00207BA9">
      <w:pPr>
        <w:spacing w:line="480" w:lineRule="auto"/>
        <w:jc w:val="center"/>
      </w:pPr>
      <w:r>
        <w:t>Unit Name:</w:t>
      </w:r>
    </w:p>
    <w:p w14:paraId="09454DD6" w14:textId="77777777" w:rsidR="00FF02AC" w:rsidRDefault="00207BA9">
      <w:pPr>
        <w:spacing w:line="480" w:lineRule="auto"/>
        <w:jc w:val="center"/>
      </w:pPr>
      <w:r>
        <w:t>University Name:</w:t>
      </w:r>
    </w:p>
    <w:p w14:paraId="42C7BE98" w14:textId="77777777" w:rsidR="00FF02AC" w:rsidRDefault="00207BA9">
      <w:pPr>
        <w:spacing w:line="480" w:lineRule="auto"/>
        <w:jc w:val="center"/>
      </w:pPr>
      <w:r>
        <w:t>Professor Name:</w:t>
      </w:r>
    </w:p>
    <w:p w14:paraId="03E79B5F" w14:textId="77777777" w:rsidR="00FF02AC" w:rsidRDefault="00FF02AC">
      <w:pPr>
        <w:spacing w:line="480" w:lineRule="auto"/>
        <w:jc w:val="center"/>
        <w:rPr>
          <w:b/>
        </w:rPr>
      </w:pPr>
    </w:p>
    <w:p w14:paraId="6740504B" w14:textId="77777777" w:rsidR="00FF02AC" w:rsidRDefault="00FF02AC">
      <w:pPr>
        <w:spacing w:line="480" w:lineRule="auto"/>
        <w:jc w:val="center"/>
        <w:rPr>
          <w:b/>
        </w:rPr>
      </w:pPr>
    </w:p>
    <w:p w14:paraId="295543B6" w14:textId="77777777" w:rsidR="00FF02AC" w:rsidRDefault="00FF02AC">
      <w:pPr>
        <w:spacing w:line="480" w:lineRule="auto"/>
        <w:jc w:val="center"/>
        <w:rPr>
          <w:b/>
        </w:rPr>
      </w:pPr>
    </w:p>
    <w:p w14:paraId="47135743" w14:textId="77777777" w:rsidR="00FF02AC" w:rsidRDefault="00FF02AC">
      <w:pPr>
        <w:spacing w:line="480" w:lineRule="auto"/>
        <w:jc w:val="center"/>
        <w:rPr>
          <w:b/>
        </w:rPr>
      </w:pPr>
    </w:p>
    <w:p w14:paraId="4C077D61" w14:textId="77777777" w:rsidR="00FF02AC" w:rsidRDefault="00FF02AC">
      <w:pPr>
        <w:spacing w:line="480" w:lineRule="auto"/>
        <w:jc w:val="center"/>
        <w:rPr>
          <w:b/>
        </w:rPr>
      </w:pPr>
    </w:p>
    <w:p w14:paraId="5661DC7C" w14:textId="77777777" w:rsidR="00FF02AC" w:rsidRDefault="00FF02AC">
      <w:pPr>
        <w:spacing w:line="480" w:lineRule="auto"/>
        <w:jc w:val="center"/>
        <w:rPr>
          <w:b/>
        </w:rPr>
      </w:pPr>
    </w:p>
    <w:p w14:paraId="0354709E" w14:textId="77777777" w:rsidR="00FF02AC" w:rsidRDefault="00207BA9">
      <w:pPr>
        <w:keepNext/>
        <w:keepLines/>
        <w:pBdr>
          <w:top w:val="nil"/>
          <w:left w:val="nil"/>
          <w:bottom w:val="nil"/>
          <w:right w:val="nil"/>
          <w:between w:val="nil"/>
        </w:pBdr>
        <w:spacing w:before="240" w:after="240"/>
        <w:rPr>
          <w:rFonts w:ascii="Calibri" w:eastAsia="Calibri" w:hAnsi="Calibri" w:cs="Calibri"/>
          <w:color w:val="2E75B5"/>
          <w:sz w:val="32"/>
          <w:szCs w:val="32"/>
        </w:rPr>
      </w:pPr>
      <w:r>
        <w:rPr>
          <w:rFonts w:ascii="Calibri" w:eastAsia="Calibri" w:hAnsi="Calibri" w:cs="Calibri"/>
          <w:color w:val="2E75B5"/>
          <w:sz w:val="32"/>
          <w:szCs w:val="32"/>
        </w:rPr>
        <w:lastRenderedPageBreak/>
        <w:t>Table of Contents</w:t>
      </w:r>
    </w:p>
    <w:sdt>
      <w:sdtPr>
        <w:id w:val="-575441253"/>
        <w:docPartObj>
          <w:docPartGallery w:val="Table of Contents"/>
          <w:docPartUnique/>
        </w:docPartObj>
      </w:sdtPr>
      <w:sdtEndPr/>
      <w:sdtContent>
        <w:p w14:paraId="597122A2" w14:textId="77777777" w:rsidR="00FF02AC" w:rsidRDefault="00207BA9">
          <w:pPr>
            <w:pBdr>
              <w:top w:val="nil"/>
              <w:left w:val="nil"/>
              <w:bottom w:val="nil"/>
              <w:right w:val="nil"/>
              <w:between w:val="nil"/>
            </w:pBdr>
            <w:tabs>
              <w:tab w:val="right" w:pos="9350"/>
            </w:tabs>
            <w:spacing w:after="100"/>
            <w:rPr>
              <w:rFonts w:eastAsia="Times New Roman"/>
              <w:color w:val="000000"/>
            </w:rPr>
          </w:pPr>
          <w:r>
            <w:fldChar w:fldCharType="begin"/>
          </w:r>
          <w:r>
            <w:instrText xml:space="preserve"> TOC \h \u \z </w:instrText>
          </w:r>
          <w:r>
            <w:fldChar w:fldCharType="separate"/>
          </w:r>
          <w:hyperlink w:anchor="_heading=h.gjdgxs">
            <w:r>
              <w:rPr>
                <w:rFonts w:eastAsia="Times New Roman"/>
                <w:color w:val="000000"/>
              </w:rPr>
              <w:t>Introduction</w:t>
            </w:r>
            <w:r>
              <w:rPr>
                <w:rFonts w:eastAsia="Times New Roman"/>
                <w:color w:val="000000"/>
              </w:rPr>
              <w:tab/>
              <w:t>2</w:t>
            </w:r>
          </w:hyperlink>
        </w:p>
        <w:p w14:paraId="644A7466" w14:textId="77777777" w:rsidR="00FF02AC" w:rsidRDefault="00930184">
          <w:pPr>
            <w:pBdr>
              <w:top w:val="nil"/>
              <w:left w:val="nil"/>
              <w:bottom w:val="nil"/>
              <w:right w:val="nil"/>
              <w:between w:val="nil"/>
            </w:pBdr>
            <w:tabs>
              <w:tab w:val="right" w:pos="9350"/>
            </w:tabs>
            <w:spacing w:after="100"/>
            <w:rPr>
              <w:rFonts w:eastAsia="Times New Roman"/>
              <w:color w:val="000000"/>
            </w:rPr>
          </w:pPr>
          <w:hyperlink w:anchor="_heading=h.30j0zll">
            <w:r w:rsidR="00207BA9">
              <w:rPr>
                <w:rFonts w:eastAsia="Times New Roman"/>
                <w:color w:val="000000"/>
              </w:rPr>
              <w:t>Background</w:t>
            </w:r>
            <w:r w:rsidR="00207BA9">
              <w:rPr>
                <w:rFonts w:eastAsia="Times New Roman"/>
                <w:color w:val="000000"/>
              </w:rPr>
              <w:tab/>
              <w:t>3</w:t>
            </w:r>
          </w:hyperlink>
        </w:p>
        <w:p w14:paraId="17604BD7" w14:textId="77777777" w:rsidR="00FF02AC" w:rsidRDefault="00930184">
          <w:pPr>
            <w:pBdr>
              <w:top w:val="nil"/>
              <w:left w:val="nil"/>
              <w:bottom w:val="nil"/>
              <w:right w:val="nil"/>
              <w:between w:val="nil"/>
            </w:pBdr>
            <w:tabs>
              <w:tab w:val="right" w:pos="9350"/>
            </w:tabs>
            <w:spacing w:after="100"/>
            <w:rPr>
              <w:rFonts w:eastAsia="Times New Roman"/>
              <w:color w:val="000000"/>
            </w:rPr>
          </w:pPr>
          <w:hyperlink w:anchor="_heading=h.1fob9te">
            <w:r w:rsidR="00207BA9">
              <w:rPr>
                <w:rFonts w:eastAsia="Times New Roman"/>
                <w:color w:val="000000"/>
              </w:rPr>
              <w:t>Research Methodology</w:t>
            </w:r>
            <w:r w:rsidR="00207BA9">
              <w:rPr>
                <w:rFonts w:eastAsia="Times New Roman"/>
                <w:color w:val="000000"/>
              </w:rPr>
              <w:tab/>
              <w:t>6</w:t>
            </w:r>
          </w:hyperlink>
        </w:p>
        <w:p w14:paraId="644A4853" w14:textId="77777777" w:rsidR="00FF02AC" w:rsidRDefault="00930184">
          <w:pPr>
            <w:pBdr>
              <w:top w:val="nil"/>
              <w:left w:val="nil"/>
              <w:bottom w:val="nil"/>
              <w:right w:val="nil"/>
              <w:between w:val="nil"/>
            </w:pBdr>
            <w:tabs>
              <w:tab w:val="right" w:pos="9350"/>
            </w:tabs>
            <w:spacing w:after="100"/>
            <w:rPr>
              <w:rFonts w:eastAsia="Times New Roman"/>
              <w:color w:val="000000"/>
            </w:rPr>
          </w:pPr>
          <w:hyperlink w:anchor="_heading=h.3znysh7">
            <w:r w:rsidR="00207BA9">
              <w:rPr>
                <w:rFonts w:eastAsia="Times New Roman"/>
                <w:color w:val="000000"/>
              </w:rPr>
              <w:t>Empirical Results</w:t>
            </w:r>
            <w:r w:rsidR="00207BA9">
              <w:rPr>
                <w:rFonts w:eastAsia="Times New Roman"/>
                <w:color w:val="000000"/>
              </w:rPr>
              <w:tab/>
              <w:t>6</w:t>
            </w:r>
          </w:hyperlink>
        </w:p>
        <w:p w14:paraId="10C59476" w14:textId="77777777" w:rsidR="00FF02AC" w:rsidRDefault="00930184">
          <w:pPr>
            <w:pBdr>
              <w:top w:val="nil"/>
              <w:left w:val="nil"/>
              <w:bottom w:val="nil"/>
              <w:right w:val="nil"/>
              <w:between w:val="nil"/>
            </w:pBdr>
            <w:tabs>
              <w:tab w:val="right" w:pos="9350"/>
            </w:tabs>
            <w:spacing w:after="100"/>
            <w:rPr>
              <w:rFonts w:eastAsia="Times New Roman"/>
              <w:color w:val="000000"/>
            </w:rPr>
          </w:pPr>
          <w:hyperlink w:anchor="_heading=h.2et92p0">
            <w:r w:rsidR="00207BA9">
              <w:rPr>
                <w:rFonts w:eastAsia="Times New Roman"/>
                <w:color w:val="000000"/>
              </w:rPr>
              <w:t>Conclusion</w:t>
            </w:r>
            <w:r w:rsidR="00207BA9">
              <w:rPr>
                <w:rFonts w:eastAsia="Times New Roman"/>
                <w:color w:val="000000"/>
              </w:rPr>
              <w:tab/>
              <w:t>6</w:t>
            </w:r>
          </w:hyperlink>
        </w:p>
        <w:p w14:paraId="06DD3376" w14:textId="77777777" w:rsidR="00FF02AC" w:rsidRDefault="00930184">
          <w:pPr>
            <w:pBdr>
              <w:top w:val="nil"/>
              <w:left w:val="nil"/>
              <w:bottom w:val="nil"/>
              <w:right w:val="nil"/>
              <w:between w:val="nil"/>
            </w:pBdr>
            <w:tabs>
              <w:tab w:val="right" w:pos="9350"/>
            </w:tabs>
            <w:spacing w:after="100"/>
            <w:rPr>
              <w:rFonts w:eastAsia="Times New Roman"/>
              <w:color w:val="000000"/>
            </w:rPr>
          </w:pPr>
          <w:hyperlink w:anchor="_heading=h.tyjcwt">
            <w:r w:rsidR="00207BA9">
              <w:rPr>
                <w:rFonts w:eastAsia="Times New Roman"/>
                <w:color w:val="000000"/>
              </w:rPr>
              <w:t>References</w:t>
            </w:r>
            <w:r w:rsidR="00207BA9">
              <w:rPr>
                <w:rFonts w:eastAsia="Times New Roman"/>
                <w:color w:val="000000"/>
              </w:rPr>
              <w:tab/>
              <w:t>6</w:t>
            </w:r>
          </w:hyperlink>
        </w:p>
        <w:p w14:paraId="6F0BD902" w14:textId="77777777" w:rsidR="00FF02AC" w:rsidRDefault="00930184">
          <w:pPr>
            <w:pBdr>
              <w:top w:val="nil"/>
              <w:left w:val="nil"/>
              <w:bottom w:val="nil"/>
              <w:right w:val="nil"/>
              <w:between w:val="nil"/>
            </w:pBdr>
            <w:tabs>
              <w:tab w:val="right" w:pos="9350"/>
            </w:tabs>
            <w:spacing w:after="100"/>
            <w:rPr>
              <w:rFonts w:eastAsia="Times New Roman"/>
              <w:color w:val="000000"/>
            </w:rPr>
          </w:pPr>
          <w:hyperlink w:anchor="_heading=h.3dy6vkm">
            <w:r w:rsidR="00207BA9">
              <w:rPr>
                <w:rFonts w:eastAsia="Times New Roman"/>
                <w:color w:val="000000"/>
              </w:rPr>
              <w:t>Dataset</w:t>
            </w:r>
            <w:r w:rsidR="00207BA9">
              <w:rPr>
                <w:rFonts w:eastAsia="Times New Roman"/>
                <w:color w:val="000000"/>
              </w:rPr>
              <w:tab/>
              <w:t>6</w:t>
            </w:r>
          </w:hyperlink>
        </w:p>
        <w:p w14:paraId="349102D6" w14:textId="77777777" w:rsidR="00FF02AC" w:rsidRDefault="00207BA9">
          <w:r>
            <w:fldChar w:fldCharType="end"/>
          </w:r>
        </w:p>
      </w:sdtContent>
    </w:sdt>
    <w:p w14:paraId="3A268ECE" w14:textId="77777777" w:rsidR="00FF02AC" w:rsidRDefault="00FF02AC">
      <w:pPr>
        <w:spacing w:line="480" w:lineRule="auto"/>
        <w:jc w:val="center"/>
        <w:rPr>
          <w:b/>
        </w:rPr>
      </w:pPr>
    </w:p>
    <w:p w14:paraId="74413E1D" w14:textId="77777777" w:rsidR="00FF02AC" w:rsidRDefault="00FF02AC">
      <w:pPr>
        <w:spacing w:line="480" w:lineRule="auto"/>
        <w:jc w:val="center"/>
        <w:rPr>
          <w:b/>
        </w:rPr>
      </w:pPr>
    </w:p>
    <w:p w14:paraId="05F8D11B" w14:textId="77777777" w:rsidR="00FF02AC" w:rsidRDefault="00FF02AC">
      <w:pPr>
        <w:spacing w:line="480" w:lineRule="auto"/>
        <w:jc w:val="center"/>
        <w:rPr>
          <w:b/>
        </w:rPr>
      </w:pPr>
    </w:p>
    <w:p w14:paraId="357AA1F2" w14:textId="77777777" w:rsidR="00FF02AC" w:rsidRDefault="00FF02AC">
      <w:pPr>
        <w:spacing w:line="480" w:lineRule="auto"/>
        <w:jc w:val="center"/>
        <w:rPr>
          <w:b/>
        </w:rPr>
      </w:pPr>
    </w:p>
    <w:p w14:paraId="3CA3900A" w14:textId="77777777" w:rsidR="00FF02AC" w:rsidRDefault="00FF02AC">
      <w:pPr>
        <w:spacing w:line="480" w:lineRule="auto"/>
        <w:jc w:val="center"/>
        <w:rPr>
          <w:b/>
        </w:rPr>
      </w:pPr>
    </w:p>
    <w:p w14:paraId="69D9A247" w14:textId="77777777" w:rsidR="00FF02AC" w:rsidRDefault="00FF02AC">
      <w:pPr>
        <w:spacing w:line="480" w:lineRule="auto"/>
        <w:jc w:val="center"/>
        <w:rPr>
          <w:b/>
        </w:rPr>
      </w:pPr>
    </w:p>
    <w:p w14:paraId="5D33650B" w14:textId="77777777" w:rsidR="00FF02AC" w:rsidRDefault="00FF02AC">
      <w:pPr>
        <w:spacing w:line="480" w:lineRule="auto"/>
        <w:jc w:val="center"/>
        <w:rPr>
          <w:b/>
        </w:rPr>
      </w:pPr>
    </w:p>
    <w:p w14:paraId="17B83C60" w14:textId="77777777" w:rsidR="00FF02AC" w:rsidRDefault="00FF02AC">
      <w:pPr>
        <w:spacing w:line="480" w:lineRule="auto"/>
        <w:jc w:val="center"/>
        <w:rPr>
          <w:b/>
        </w:rPr>
      </w:pPr>
    </w:p>
    <w:p w14:paraId="11F0FF80" w14:textId="77777777" w:rsidR="00FF02AC" w:rsidRDefault="00FF02AC">
      <w:pPr>
        <w:spacing w:line="480" w:lineRule="auto"/>
        <w:jc w:val="center"/>
        <w:rPr>
          <w:b/>
        </w:rPr>
      </w:pPr>
    </w:p>
    <w:p w14:paraId="6586960F" w14:textId="77777777" w:rsidR="00FF02AC" w:rsidRDefault="00FF02AC">
      <w:pPr>
        <w:spacing w:line="480" w:lineRule="auto"/>
        <w:jc w:val="center"/>
        <w:rPr>
          <w:b/>
        </w:rPr>
      </w:pPr>
    </w:p>
    <w:p w14:paraId="77379F01" w14:textId="77777777" w:rsidR="00FF02AC" w:rsidRDefault="00FF02AC">
      <w:pPr>
        <w:spacing w:line="480" w:lineRule="auto"/>
        <w:jc w:val="center"/>
        <w:rPr>
          <w:b/>
        </w:rPr>
      </w:pPr>
    </w:p>
    <w:p w14:paraId="2BDBD63C" w14:textId="77777777" w:rsidR="00FF02AC" w:rsidRDefault="00FF02AC">
      <w:pPr>
        <w:spacing w:line="480" w:lineRule="auto"/>
        <w:jc w:val="center"/>
        <w:rPr>
          <w:b/>
        </w:rPr>
      </w:pPr>
    </w:p>
    <w:p w14:paraId="2BB692CA" w14:textId="77777777" w:rsidR="00FF02AC" w:rsidRDefault="00FF02AC">
      <w:pPr>
        <w:spacing w:line="480" w:lineRule="auto"/>
        <w:jc w:val="center"/>
        <w:rPr>
          <w:b/>
        </w:rPr>
      </w:pPr>
    </w:p>
    <w:p w14:paraId="162A24CE" w14:textId="77777777" w:rsidR="00FF02AC" w:rsidRDefault="00207BA9">
      <w:pPr>
        <w:pStyle w:val="Heading1"/>
      </w:pPr>
      <w:bookmarkStart w:id="0" w:name="_heading=h.gjdgxs" w:colFirst="0" w:colLast="0"/>
      <w:bookmarkEnd w:id="0"/>
      <w:r>
        <w:lastRenderedPageBreak/>
        <w:t>Introduction</w:t>
      </w:r>
    </w:p>
    <w:p w14:paraId="69D2A902" w14:textId="32BC9EDA" w:rsidR="00FF02AC" w:rsidRDefault="00207BA9">
      <w:pPr>
        <w:spacing w:line="480" w:lineRule="auto"/>
        <w:ind w:firstLine="720"/>
        <w:jc w:val="both"/>
      </w:pPr>
      <w:r>
        <w:t xml:space="preserve">Economic prosperity is the dream of any country in the world. The stability of the economy is mostly based on the growth rate of the economy. In a country where the economy is positively growing, foreign investors and domestic investors will be encouraged to invest. This is because they are certain in the economic environment; they will yield the investor's returns. On the other hand, if the economy is uncertain about the future growth trend, </w:t>
      </w:r>
      <w:r w:rsidR="00D438EC">
        <w:t>its</w:t>
      </w:r>
      <w:r>
        <w:t xml:space="preserve"> investment will be affected negatively. Through the investment multiplier, the national income will decline if the investment of the income declines. </w:t>
      </w:r>
    </w:p>
    <w:p w14:paraId="51AA9814" w14:textId="204005C6" w:rsidR="00FF02AC" w:rsidRDefault="00207BA9">
      <w:pPr>
        <w:spacing w:line="480" w:lineRule="auto"/>
        <w:ind w:firstLine="720"/>
        <w:jc w:val="both"/>
      </w:pPr>
      <w:r>
        <w:t>The economy is composed of different macroeconomic factors that directly affect the Gross Domestic Product</w:t>
      </w:r>
      <w:r w:rsidR="00D438EC">
        <w:t>’s national income</w:t>
      </w:r>
      <w:r>
        <w:t>. These factors include; consumption, total investment, government expenditure, and net exports (the difference between exports and imports). However, these variables affect the Gross Domestic Product through different channels. For this paper's purpose, we will investigate how the exchange rate and interest rate affect the Gross Domestic Product growth in Canada</w:t>
      </w:r>
      <w:r w:rsidR="00D438EC">
        <w:t>’s Canada</w:t>
      </w:r>
      <w:r>
        <w:t xml:space="preserve"> through investment and net exports. </w:t>
      </w:r>
    </w:p>
    <w:p w14:paraId="189915C1" w14:textId="749DC9C2" w:rsidR="00FF02AC" w:rsidRDefault="00207BA9">
      <w:pPr>
        <w:spacing w:line="480" w:lineRule="auto"/>
        <w:ind w:firstLine="720"/>
        <w:jc w:val="both"/>
      </w:pPr>
      <w:r>
        <w:t>For this paper, secondary data on economic growth, interest rate, and the exchange rate in Canada will be collected from the World Bank database between 1961 and 2017. The dataset was picked until 2017 since data on real interest is captured until 2017 in the World Bank database. The data source makes it reliable since the database is run and managed by reliable resources; therefore, the data set is reliable.</w:t>
      </w:r>
    </w:p>
    <w:p w14:paraId="43E44276" w14:textId="56A97B07" w:rsidR="00FF02AC" w:rsidRDefault="00207BA9">
      <w:pPr>
        <w:spacing w:line="480" w:lineRule="auto"/>
        <w:ind w:firstLine="720"/>
        <w:jc w:val="both"/>
      </w:pPr>
      <w:r>
        <w:t xml:space="preserve">The paper's main objective is to study </w:t>
      </w:r>
      <w:r w:rsidR="00930184">
        <w:t xml:space="preserve">of </w:t>
      </w:r>
      <w:r w:rsidR="00D438EC">
        <w:t xml:space="preserve">Canada’s economic growth on </w:t>
      </w:r>
      <w:r>
        <w:t>the interest and exchange rate</w:t>
      </w:r>
      <w:r w:rsidR="00D438EC">
        <w:t>.</w:t>
      </w:r>
      <w:r>
        <w:t xml:space="preserve"> The dependent variables include interest rate and exchange rate, while the dependent variable is Gross Domestic Product growth. The data's empirical results will be </w:t>
      </w:r>
      <w:r>
        <w:lastRenderedPageBreak/>
        <w:t xml:space="preserve">beneficial to the researchers interested in conducting a similar study. Secondly, the results will help the policymakers make policies that will improve economic growth if the model predicts slow growth in the future. The results will also be of great importance to foreign investors and domestic investors in predicting the economy's future stability. Since the paper focuses on investigating the effect of interest rate and exchange rate on economic growth, the model will use a multiple linear regression model. From theory, the lending interest rate </w:t>
      </w:r>
      <w:r w:rsidR="00D438EC">
        <w:t xml:space="preserve">harms </w:t>
      </w:r>
      <w:r>
        <w:t>investment, and therefore, the interest rate coefficient is expected to be negative. Also, the exchange rate has a negative effect on net exports</w:t>
      </w:r>
      <w:r w:rsidR="00D438EC">
        <w:t>,</w:t>
      </w:r>
      <w:r>
        <w:t xml:space="preserve"> hence slow</w:t>
      </w:r>
      <w:r w:rsidR="00D438EC">
        <w:t>ing</w:t>
      </w:r>
      <w:r>
        <w:t xml:space="preserve"> down GDP growth; </w:t>
      </w:r>
      <w:r w:rsidR="00D438EC">
        <w:t>therefore,</w:t>
      </w:r>
      <w:r>
        <w:t xml:space="preserve"> the exchange rate</w:t>
      </w:r>
      <w:r w:rsidR="00D438EC">
        <w:t>’s coefficient</w:t>
      </w:r>
      <w:r>
        <w:t xml:space="preserve"> is expected to be negative. Therefore, the paper will be based on the following hypothesis;</w:t>
      </w:r>
    </w:p>
    <w:p w14:paraId="26D68F4C" w14:textId="5B1F8728" w:rsidR="00FF02AC" w:rsidRDefault="00930184">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0</m:t>
              </m:r>
            </m:sub>
          </m:sSub>
          <m:r>
            <w:rPr>
              <w:rFonts w:ascii="Cambria Math" w:eastAsia="Cambria Math" w:hAnsi="Cambria Math" w:cs="Cambria Math"/>
            </w:rPr>
            <m:t xml:space="preserve">:There is no significant </m:t>
          </m:r>
          <m:r>
            <w:rPr>
              <w:rFonts w:ascii="Cambria Math" w:eastAsia="Cambria Math" w:hAnsi="Cambria Math" w:cs="Cambria Math"/>
            </w:rPr>
            <m:t xml:space="preserve">negative </m:t>
          </m:r>
          <m:r>
            <w:rPr>
              <w:rFonts w:ascii="Cambria Math" w:eastAsia="Cambria Math" w:hAnsi="Cambria Math" w:cs="Cambria Math"/>
            </w:rPr>
            <m:t>effect of interest rate on economic growth</m:t>
          </m:r>
          <m:r>
            <w:rPr>
              <w:rFonts w:ascii="Cambria Math" w:eastAsia="Cambria Math" w:hAnsi="Cambria Math" w:cs="Cambria Math"/>
            </w:rPr>
            <m:t>.</m:t>
          </m:r>
          <m:r>
            <w:rPr>
              <w:rFonts w:ascii="Cambria Math" w:eastAsia="Cambria Math" w:hAnsi="Cambria Math" w:cs="Cambria Math"/>
            </w:rPr>
            <m:t xml:space="preserve"> </m:t>
          </m:r>
        </m:oMath>
      </m:oMathPara>
    </w:p>
    <w:p w14:paraId="104415B4" w14:textId="2FE67966" w:rsidR="00FF02AC" w:rsidRDefault="00930184">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A</m:t>
              </m:r>
            </m:sub>
          </m:sSub>
          <m:r>
            <w:rPr>
              <w:rFonts w:ascii="Cambria Math" w:eastAsia="Cambria Math" w:hAnsi="Cambria Math" w:cs="Cambria Math"/>
            </w:rPr>
            <m:t>:</m:t>
          </m:r>
          <m:r>
            <w:rPr>
              <w:rFonts w:ascii="Cambria Math" w:eastAsia="Cambria Math" w:hAnsi="Cambria Math" w:cs="Cambria Math"/>
            </w:rPr>
            <m:t xml:space="preserve">  </m:t>
          </m:r>
          <m:r>
            <w:rPr>
              <w:rFonts w:ascii="Cambria Math" w:eastAsia="Cambria Math" w:hAnsi="Cambria Math" w:cs="Cambria Math"/>
            </w:rPr>
            <m:t>There is a</m:t>
          </m:r>
          <m:r>
            <w:rPr>
              <w:rFonts w:ascii="Cambria Math" w:eastAsia="Cambria Math" w:hAnsi="Cambria Math" w:cs="Cambria Math"/>
            </w:rPr>
            <m:t xml:space="preserve"> </m:t>
          </m:r>
          <m:r>
            <w:rPr>
              <w:rFonts w:ascii="Cambria Math" w:eastAsia="Cambria Math" w:hAnsi="Cambria Math" w:cs="Cambria Math"/>
            </w:rPr>
            <m:t>significant</m:t>
          </m:r>
          <m:r>
            <w:rPr>
              <w:rFonts w:ascii="Cambria Math" w:eastAsia="Cambria Math" w:hAnsi="Cambria Math" w:cs="Cambria Math"/>
            </w:rPr>
            <m:t xml:space="preserve"> negative</m:t>
          </m:r>
          <m:r>
            <w:rPr>
              <w:rFonts w:ascii="Cambria Math" w:eastAsia="Cambria Math" w:hAnsi="Cambria Math" w:cs="Cambria Math"/>
            </w:rPr>
            <m:t xml:space="preserve"> effect of interest rate on economic growth </m:t>
          </m:r>
        </m:oMath>
      </m:oMathPara>
    </w:p>
    <w:p w14:paraId="1F014B9F" w14:textId="77777777" w:rsidR="00FF02AC" w:rsidRDefault="00FF02AC">
      <w:pPr>
        <w:spacing w:line="480" w:lineRule="auto"/>
        <w:jc w:val="both"/>
      </w:pPr>
    </w:p>
    <w:p w14:paraId="0FBED334" w14:textId="7F539C36" w:rsidR="00FF02AC" w:rsidRDefault="00930184">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0</m:t>
              </m:r>
            </m:sub>
          </m:sSub>
          <m:r>
            <w:rPr>
              <w:rFonts w:ascii="Cambria Math" w:eastAsia="Cambria Math" w:hAnsi="Cambria Math" w:cs="Cambria Math"/>
            </w:rPr>
            <m:t>:There is n</m:t>
          </m:r>
          <m:r>
            <w:rPr>
              <w:rFonts w:ascii="Cambria Math" w:eastAsia="Cambria Math" w:hAnsi="Cambria Math" w:cs="Cambria Math"/>
            </w:rPr>
            <m:t xml:space="preserve">o </m:t>
          </m:r>
          <m:r>
            <w:rPr>
              <w:rFonts w:ascii="Cambria Math" w:eastAsia="Cambria Math" w:hAnsi="Cambria Math" w:cs="Cambria Math"/>
            </w:rPr>
            <m:t>significant</m:t>
          </m:r>
          <m:r>
            <w:rPr>
              <w:rFonts w:ascii="Cambria Math" w:eastAsia="Cambria Math" w:hAnsi="Cambria Math" w:cs="Cambria Math"/>
            </w:rPr>
            <m:t xml:space="preserve"> negative</m:t>
          </m:r>
          <m:r>
            <w:rPr>
              <w:rFonts w:ascii="Cambria Math" w:eastAsia="Cambria Math" w:hAnsi="Cambria Math" w:cs="Cambria Math"/>
            </w:rPr>
            <m:t xml:space="preserve"> effect of exchange rate on economic growth</m:t>
          </m:r>
          <m:r>
            <w:rPr>
              <w:rFonts w:ascii="Cambria Math" w:eastAsia="Cambria Math" w:hAnsi="Cambria Math" w:cs="Cambria Math"/>
            </w:rPr>
            <m:t>.</m:t>
          </m:r>
          <m:r>
            <w:rPr>
              <w:rFonts w:ascii="Cambria Math" w:eastAsia="Cambria Math" w:hAnsi="Cambria Math" w:cs="Cambria Math"/>
            </w:rPr>
            <m:t xml:space="preserve"> </m:t>
          </m:r>
        </m:oMath>
      </m:oMathPara>
    </w:p>
    <w:p w14:paraId="26B92D76" w14:textId="702EFC26" w:rsidR="00FF02AC" w:rsidRDefault="00930184">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A</m:t>
              </m:r>
            </m:sub>
          </m:sSub>
          <m:r>
            <w:rPr>
              <w:rFonts w:ascii="Cambria Math" w:eastAsia="Cambria Math" w:hAnsi="Cambria Math" w:cs="Cambria Math"/>
            </w:rPr>
            <m:t>:</m:t>
          </m:r>
          <m:r>
            <w:rPr>
              <w:rFonts w:ascii="Cambria Math" w:eastAsia="Cambria Math" w:hAnsi="Cambria Math" w:cs="Cambria Math"/>
            </w:rPr>
            <m:t xml:space="preserve"> </m:t>
          </m:r>
          <m:r>
            <w:rPr>
              <w:rFonts w:ascii="Cambria Math" w:eastAsia="Cambria Math" w:hAnsi="Cambria Math" w:cs="Cambria Math"/>
            </w:rPr>
            <m:t xml:space="preserve">There is a </m:t>
          </m:r>
          <m:r>
            <w:rPr>
              <w:rFonts w:ascii="Cambria Math" w:eastAsia="Cambria Math" w:hAnsi="Cambria Math" w:cs="Cambria Math"/>
            </w:rPr>
            <m:t xml:space="preserve">significant </m:t>
          </m:r>
          <m:r>
            <w:rPr>
              <w:rFonts w:ascii="Cambria Math" w:eastAsia="Cambria Math" w:hAnsi="Cambria Math" w:cs="Cambria Math"/>
            </w:rPr>
            <m:t>negative effect of exchange rate on economic growth</m:t>
          </m:r>
          <m:r>
            <w:rPr>
              <w:rFonts w:ascii="Cambria Math" w:eastAsia="Cambria Math" w:hAnsi="Cambria Math" w:cs="Cambria Math"/>
            </w:rPr>
            <m:t>.</m:t>
          </m:r>
          <m:r>
            <w:rPr>
              <w:rFonts w:ascii="Cambria Math" w:eastAsia="Cambria Math" w:hAnsi="Cambria Math" w:cs="Cambria Math"/>
            </w:rPr>
            <m:t xml:space="preserve"> </m:t>
          </m:r>
        </m:oMath>
      </m:oMathPara>
    </w:p>
    <w:p w14:paraId="2911CADB" w14:textId="77777777" w:rsidR="00FF02AC" w:rsidRDefault="00FF02AC">
      <w:pPr>
        <w:spacing w:line="480" w:lineRule="auto"/>
        <w:jc w:val="both"/>
      </w:pPr>
    </w:p>
    <w:p w14:paraId="2A9FF5DF" w14:textId="77777777" w:rsidR="00FF02AC" w:rsidRDefault="00FF02AC">
      <w:pPr>
        <w:spacing w:line="480" w:lineRule="auto"/>
        <w:jc w:val="both"/>
      </w:pPr>
    </w:p>
    <w:p w14:paraId="55A83C55" w14:textId="77777777" w:rsidR="00FF02AC" w:rsidRDefault="00FF02AC">
      <w:pPr>
        <w:spacing w:line="480" w:lineRule="auto"/>
        <w:jc w:val="both"/>
      </w:pPr>
    </w:p>
    <w:p w14:paraId="321F7E4B" w14:textId="04EF668A" w:rsidR="00FF02AC" w:rsidRDefault="00FF02AC"/>
    <w:p w14:paraId="6F3D6DA8" w14:textId="22A4C8B5" w:rsidR="00FE2BF4" w:rsidRDefault="00FE2BF4"/>
    <w:p w14:paraId="26B49934" w14:textId="77777777" w:rsidR="00FE2BF4" w:rsidRDefault="00FE2BF4"/>
    <w:p w14:paraId="7D3CCEEC" w14:textId="77777777" w:rsidR="00FF02AC" w:rsidRDefault="00207BA9">
      <w:pPr>
        <w:pStyle w:val="Heading1"/>
      </w:pPr>
      <w:bookmarkStart w:id="1" w:name="_heading=h.30j0zll" w:colFirst="0" w:colLast="0"/>
      <w:bookmarkEnd w:id="1"/>
      <w:r>
        <w:t>Background</w:t>
      </w:r>
    </w:p>
    <w:p w14:paraId="20DB1F1C" w14:textId="343FC0D5" w:rsidR="00FF02AC" w:rsidRDefault="00207BA9">
      <w:pPr>
        <w:spacing w:line="480" w:lineRule="auto"/>
        <w:jc w:val="both"/>
      </w:pPr>
      <w:r>
        <w:tab/>
        <w:t xml:space="preserve">Economic growth is defined as the measure in the national income growth, which is an improvement in the </w:t>
      </w:r>
      <w:r w:rsidR="00930184">
        <w:t xml:space="preserve">national </w:t>
      </w:r>
      <w:r>
        <w:t xml:space="preserve">income (Acemoglu, 2012). The components of national income </w:t>
      </w:r>
      <w:r>
        <w:lastRenderedPageBreak/>
        <w:t>include consumption, investment, government expenditure, and trade balance. These components affect national income through different channels. For the paper, the study will employ interest rate and exchange rate. The study focuses on investigating the effect of interest rate and exchange rate on economic growth. From theory, the interest rate and economic growth are negatively related (</w:t>
      </w:r>
      <w:proofErr w:type="spellStart"/>
      <w:r>
        <w:t>Maiga</w:t>
      </w:r>
      <w:proofErr w:type="spellEnd"/>
      <w:r>
        <w:t xml:space="preserve"> 2017); this can be justified because when the lending interest rate increases, the money will be expensive and will discourage the private investors. A decline in the investment will decrease the national income through the investment multiplier hence a slow economic growth. When the interest rate decreases, the private investors will be encouraged to borrow money from the bank and invest. This will increase the investment component of the national income. </w:t>
      </w:r>
      <w:r w:rsidR="00C73F1A">
        <w:t>Besides</w:t>
      </w:r>
      <w:r>
        <w:t>, an increase in the exchange rate (appreciation of domestic currency) will decline the net exports of the domestic country since the appreciation of domestic currency encourages the imports declining the net exports of the country hence a reduced national income and in turn a slow economic growth (</w:t>
      </w:r>
      <w:proofErr w:type="spellStart"/>
      <w:r>
        <w:t>Obansa</w:t>
      </w:r>
      <w:proofErr w:type="spellEnd"/>
      <w:r>
        <w:t xml:space="preserve"> et al., 2013). On the other hand, the decrease in the exchange rate (devaluation of the domestic currency) will encourage the exportation of domestically produced goods, increasing the net exports hence stimulating economic growth (</w:t>
      </w:r>
      <w:proofErr w:type="spellStart"/>
      <w:r>
        <w:t>Obansa</w:t>
      </w:r>
      <w:proofErr w:type="spellEnd"/>
      <w:r>
        <w:t xml:space="preserve"> et al., 2013). The following subsections present the current economic growth trend, interest rate</w:t>
      </w:r>
      <w:r w:rsidR="00C73F1A">
        <w:t>,</w:t>
      </w:r>
      <w:r>
        <w:t xml:space="preserve"> and the </w:t>
      </w:r>
      <w:r w:rsidR="00930184">
        <w:t xml:space="preserve">Canada’s </w:t>
      </w:r>
      <w:r>
        <w:t>exchange rate</w:t>
      </w:r>
      <w:r w:rsidR="00930184">
        <w:t>.</w:t>
      </w:r>
    </w:p>
    <w:p w14:paraId="114533E4" w14:textId="77777777" w:rsidR="00FF02AC" w:rsidRDefault="00FF02AC">
      <w:pPr>
        <w:rPr>
          <w:b/>
        </w:rPr>
      </w:pPr>
    </w:p>
    <w:p w14:paraId="26E46694" w14:textId="77777777" w:rsidR="00FF02AC" w:rsidRDefault="00FF02AC">
      <w:pPr>
        <w:rPr>
          <w:b/>
        </w:rPr>
      </w:pPr>
    </w:p>
    <w:p w14:paraId="234010D0" w14:textId="77777777" w:rsidR="00FF02AC" w:rsidRDefault="00FF02AC">
      <w:pPr>
        <w:rPr>
          <w:b/>
        </w:rPr>
      </w:pPr>
    </w:p>
    <w:p w14:paraId="6BD1B541" w14:textId="77777777" w:rsidR="00FF02AC" w:rsidRDefault="00207BA9">
      <w:pPr>
        <w:rPr>
          <w:b/>
        </w:rPr>
      </w:pPr>
      <w:r>
        <w:rPr>
          <w:b/>
        </w:rPr>
        <w:t>The trend of the Exchange Rate of Canada.</w:t>
      </w:r>
    </w:p>
    <w:p w14:paraId="67237992" w14:textId="0D1191C6" w:rsidR="00FF02AC" w:rsidRDefault="00207BA9">
      <w:pPr>
        <w:spacing w:line="480" w:lineRule="auto"/>
      </w:pPr>
      <w:r>
        <w:tab/>
        <w:t>The following figure demonstrates Canada's exchange rate for a period ranging between 1961 and 2017.</w:t>
      </w:r>
    </w:p>
    <w:p w14:paraId="56FBB2B9" w14:textId="77777777" w:rsidR="00FF02AC" w:rsidRDefault="00FF02AC"/>
    <w:p w14:paraId="11045780" w14:textId="77777777" w:rsidR="00FF02AC" w:rsidRDefault="00207BA9">
      <w:r>
        <w:rPr>
          <w:noProof/>
        </w:rPr>
        <w:lastRenderedPageBreak/>
        <w:drawing>
          <wp:inline distT="0" distB="0" distL="0" distR="0" wp14:anchorId="01AA70F9" wp14:editId="02BC9F68">
            <wp:extent cx="6188149" cy="431482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E9D7960" w14:textId="77777777" w:rsidR="00FF02AC" w:rsidRDefault="00207BA9">
      <w:pPr>
        <w:spacing w:line="240" w:lineRule="auto"/>
        <w:rPr>
          <w:b/>
        </w:rPr>
      </w:pPr>
      <w:r>
        <w:rPr>
          <w:b/>
        </w:rPr>
        <w:t>Figure 1: Trend of Exchange Rate of Canada.</w:t>
      </w:r>
    </w:p>
    <w:p w14:paraId="2A465AB4" w14:textId="77777777" w:rsidR="00FF02AC" w:rsidRDefault="00207BA9">
      <w:pPr>
        <w:spacing w:line="240" w:lineRule="auto"/>
        <w:rPr>
          <w:b/>
        </w:rPr>
      </w:pPr>
      <w:r>
        <w:rPr>
          <w:b/>
        </w:rPr>
        <w:t>Source: World Bank Database, 2020</w:t>
      </w:r>
    </w:p>
    <w:p w14:paraId="6812648F" w14:textId="77777777" w:rsidR="00FF02AC" w:rsidRDefault="00207BA9">
      <w:pPr>
        <w:spacing w:line="480" w:lineRule="auto"/>
        <w:jc w:val="both"/>
      </w:pPr>
      <w:r>
        <w:tab/>
        <w:t>Figure 1 demonstrates the trend in the exchange rate in Canada for a period between 1961 and 2017. The figure shows a mixed trend in the exchange rate. Between 1962 and 1969, the exchange rate remained constant before it declined consistently until 1976. Between 1979 and 1986, the exchange rate declined to indicate an appreciation of the domestic currency. The exchange rate declined between 1986 and 1991, rising again until 2002. Until 2011, the exchange rate declined as a result of a devaluation of the domestic currency. Since then, the exchange rate has had a gradual increase indicating a gradual appreciation of the Canadian dollar.</w:t>
      </w:r>
    </w:p>
    <w:p w14:paraId="24A8B27E" w14:textId="77777777" w:rsidR="00FF02AC" w:rsidRDefault="00207BA9">
      <w:pPr>
        <w:spacing w:line="480" w:lineRule="auto"/>
        <w:jc w:val="both"/>
        <w:rPr>
          <w:b/>
        </w:rPr>
      </w:pPr>
      <w:r>
        <w:rPr>
          <w:b/>
        </w:rPr>
        <w:t>The trend of Real Interest Rate of Canada</w:t>
      </w:r>
    </w:p>
    <w:p w14:paraId="76D45EDE" w14:textId="4B4DB1F0" w:rsidR="00FF02AC" w:rsidRDefault="00207BA9">
      <w:pPr>
        <w:spacing w:line="480" w:lineRule="auto"/>
      </w:pPr>
      <w:r>
        <w:lastRenderedPageBreak/>
        <w:tab/>
        <w:t>The following figure demonstrates the trend of real interest rates in Canada between 1961 and 2017.</w:t>
      </w:r>
    </w:p>
    <w:p w14:paraId="4C485559" w14:textId="77777777" w:rsidR="00FF02AC" w:rsidRDefault="00207BA9">
      <w:r>
        <w:rPr>
          <w:noProof/>
        </w:rPr>
        <w:drawing>
          <wp:inline distT="0" distB="0" distL="0" distR="0" wp14:anchorId="193C0CF0" wp14:editId="2FC9077C">
            <wp:extent cx="5943600" cy="431482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DFF03FD" w14:textId="77777777" w:rsidR="00FF02AC" w:rsidRDefault="00207BA9">
      <w:pPr>
        <w:spacing w:line="240" w:lineRule="auto"/>
        <w:rPr>
          <w:b/>
        </w:rPr>
      </w:pPr>
      <w:r>
        <w:rPr>
          <w:b/>
        </w:rPr>
        <w:t>Figure 2: Trend of Real Interest Rate of Canada.</w:t>
      </w:r>
    </w:p>
    <w:p w14:paraId="0B48AD6C" w14:textId="77777777" w:rsidR="00FF02AC" w:rsidRDefault="00207BA9">
      <w:pPr>
        <w:spacing w:line="240" w:lineRule="auto"/>
        <w:rPr>
          <w:b/>
        </w:rPr>
      </w:pPr>
      <w:r>
        <w:rPr>
          <w:b/>
        </w:rPr>
        <w:t>Source: World Bank Database, 2020</w:t>
      </w:r>
    </w:p>
    <w:p w14:paraId="7E31B7A9" w14:textId="77777777" w:rsidR="00FF02AC" w:rsidRDefault="00207BA9">
      <w:pPr>
        <w:spacing w:line="480" w:lineRule="auto"/>
        <w:jc w:val="both"/>
      </w:pPr>
      <w:r>
        <w:tab/>
        <w:t xml:space="preserve">The above figure demonstrates an unstable lending interest in Canada. However, between 1982 and 2017, the economy has experienced a general decline in Canada's interest rate. This indicates that the country's motive was to stimulate economic growth through private investment in the country. </w:t>
      </w:r>
    </w:p>
    <w:p w14:paraId="545FCDC6" w14:textId="77777777" w:rsidR="00FF02AC" w:rsidRDefault="00FF02AC">
      <w:pPr>
        <w:spacing w:line="480" w:lineRule="auto"/>
        <w:rPr>
          <w:b/>
        </w:rPr>
      </w:pPr>
    </w:p>
    <w:p w14:paraId="7A65F6AC" w14:textId="77777777" w:rsidR="00FF02AC" w:rsidRDefault="00207BA9">
      <w:pPr>
        <w:spacing w:line="480" w:lineRule="auto"/>
      </w:pPr>
      <w:r>
        <w:rPr>
          <w:b/>
        </w:rPr>
        <w:t>The trend of Annual GDP Growth Rate of Canada.</w:t>
      </w:r>
    </w:p>
    <w:p w14:paraId="34B52B35" w14:textId="77777777" w:rsidR="00FF02AC" w:rsidRDefault="00207BA9">
      <w:r>
        <w:rPr>
          <w:noProof/>
        </w:rPr>
        <w:lastRenderedPageBreak/>
        <w:drawing>
          <wp:inline distT="0" distB="0" distL="0" distR="0" wp14:anchorId="4E30EA05" wp14:editId="458E9E81">
            <wp:extent cx="5943600" cy="431482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475A83" w14:textId="77777777" w:rsidR="00FF02AC" w:rsidRDefault="00207BA9">
      <w:pPr>
        <w:spacing w:line="240" w:lineRule="auto"/>
        <w:rPr>
          <w:b/>
        </w:rPr>
      </w:pPr>
      <w:r>
        <w:rPr>
          <w:b/>
        </w:rPr>
        <w:t>Figure 3: Trend of GDP Growth Rate of Canada.</w:t>
      </w:r>
    </w:p>
    <w:p w14:paraId="3D68074A" w14:textId="77777777" w:rsidR="00FF02AC" w:rsidRDefault="00207BA9">
      <w:pPr>
        <w:spacing w:line="240" w:lineRule="auto"/>
        <w:rPr>
          <w:b/>
        </w:rPr>
      </w:pPr>
      <w:r>
        <w:rPr>
          <w:b/>
        </w:rPr>
        <w:t>Source: World Bank Database, 2020</w:t>
      </w:r>
    </w:p>
    <w:p w14:paraId="5AEC8875" w14:textId="494F3108" w:rsidR="00FF02AC" w:rsidRDefault="00207BA9">
      <w:pPr>
        <w:jc w:val="both"/>
      </w:pPr>
      <w:r>
        <w:tab/>
        <w:t xml:space="preserve">Figure 3 shows a general decline in Canada's economic growth between 1961 and 2017, even though the economic growth remained volatile over the study period. </w:t>
      </w:r>
    </w:p>
    <w:p w14:paraId="3F3BE3E5" w14:textId="77777777" w:rsidR="00FF02AC" w:rsidRDefault="00FF02AC">
      <w:pPr>
        <w:jc w:val="both"/>
      </w:pPr>
    </w:p>
    <w:p w14:paraId="77A2978A" w14:textId="77777777" w:rsidR="00FF02AC" w:rsidRDefault="00FF02AC">
      <w:pPr>
        <w:jc w:val="both"/>
      </w:pPr>
    </w:p>
    <w:p w14:paraId="339C70AF" w14:textId="77777777" w:rsidR="00FF02AC" w:rsidRDefault="00FF02AC">
      <w:pPr>
        <w:jc w:val="both"/>
      </w:pPr>
    </w:p>
    <w:p w14:paraId="139BC49D" w14:textId="77777777" w:rsidR="00FF02AC" w:rsidRDefault="00FF02AC">
      <w:pPr>
        <w:jc w:val="both"/>
      </w:pPr>
    </w:p>
    <w:p w14:paraId="59D2891C" w14:textId="77777777" w:rsidR="00FF02AC" w:rsidRDefault="00207BA9">
      <w:pPr>
        <w:jc w:val="both"/>
        <w:rPr>
          <w:b/>
        </w:rPr>
      </w:pPr>
      <w:r>
        <w:rPr>
          <w:b/>
        </w:rPr>
        <w:t>Relationship between Selected Macroeconomic Variables and Economic Growth.</w:t>
      </w:r>
    </w:p>
    <w:p w14:paraId="7CE2DB59" w14:textId="77777777" w:rsidR="00FF02AC" w:rsidRDefault="00207BA9">
      <w:pPr>
        <w:jc w:val="both"/>
      </w:pPr>
      <w:r>
        <w:rPr>
          <w:b/>
        </w:rPr>
        <w:tab/>
      </w:r>
      <w:r>
        <w:t xml:space="preserve">The figure below shows a trend of the independent variables and the dependent variables. </w:t>
      </w:r>
    </w:p>
    <w:p w14:paraId="2605DFEB" w14:textId="77777777" w:rsidR="00FF02AC" w:rsidRDefault="00FF02AC">
      <w:pPr>
        <w:jc w:val="both"/>
      </w:pPr>
    </w:p>
    <w:p w14:paraId="4A6BF424" w14:textId="77777777" w:rsidR="00FF02AC" w:rsidRDefault="00207BA9">
      <w:r>
        <w:rPr>
          <w:noProof/>
        </w:rPr>
        <w:lastRenderedPageBreak/>
        <w:drawing>
          <wp:inline distT="0" distB="0" distL="0" distR="0" wp14:anchorId="0B6388CB" wp14:editId="048383A1">
            <wp:extent cx="5943600" cy="4314825"/>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A81E4A4" w14:textId="77777777" w:rsidR="00FF02AC" w:rsidRDefault="00207BA9">
      <w:pPr>
        <w:jc w:val="both"/>
        <w:rPr>
          <w:b/>
        </w:rPr>
      </w:pPr>
      <w:r>
        <w:rPr>
          <w:b/>
        </w:rPr>
        <w:t>Figure 4: Relationship between Selected Macroeconomic Variables and Economic Growth.</w:t>
      </w:r>
    </w:p>
    <w:p w14:paraId="542D4011" w14:textId="77777777" w:rsidR="00FF02AC" w:rsidRDefault="00207BA9">
      <w:pPr>
        <w:spacing w:line="240" w:lineRule="auto"/>
        <w:rPr>
          <w:b/>
        </w:rPr>
      </w:pPr>
      <w:r>
        <w:rPr>
          <w:b/>
        </w:rPr>
        <w:t>Source: World Bank Database, 2020</w:t>
      </w:r>
    </w:p>
    <w:p w14:paraId="66FFB9DE" w14:textId="77777777" w:rsidR="00FF02AC" w:rsidRDefault="00207BA9">
      <w:pPr>
        <w:spacing w:line="480" w:lineRule="auto"/>
        <w:jc w:val="both"/>
      </w:pPr>
      <w:r>
        <w:tab/>
        <w:t>Figure 4 above shows that the independent variables' trend indicates some relationship between the interest rate and the exchange rate. However, to investigate this relationship, the study seeks to comprehensively investigate the effect of interest rate and exchange rate on Canada's economic growth.</w:t>
      </w:r>
    </w:p>
    <w:p w14:paraId="7B8A76DA" w14:textId="77777777" w:rsidR="00FF02AC" w:rsidRDefault="00FF02AC"/>
    <w:p w14:paraId="09FE770B" w14:textId="77777777" w:rsidR="00FF02AC" w:rsidRDefault="00207BA9">
      <w:pPr>
        <w:pStyle w:val="Heading1"/>
      </w:pPr>
      <w:bookmarkStart w:id="2" w:name="_heading=h.1fob9te" w:colFirst="0" w:colLast="0"/>
      <w:bookmarkEnd w:id="2"/>
      <w:r>
        <w:t xml:space="preserve">Research Methodology </w:t>
      </w:r>
    </w:p>
    <w:p w14:paraId="02299F91" w14:textId="3D8FA2AD" w:rsidR="00FF02AC" w:rsidRDefault="00207BA9">
      <w:pPr>
        <w:spacing w:line="480" w:lineRule="auto"/>
        <w:jc w:val="both"/>
      </w:pPr>
      <w:r>
        <w:tab/>
      </w:r>
      <w:r w:rsidR="00C73F1A">
        <w:t>T</w:t>
      </w:r>
      <w:r>
        <w:t xml:space="preserve">o achieve the paper's objective, the study </w:t>
      </w:r>
      <w:r w:rsidR="00C73F1A">
        <w:t>will analyze the given data</w:t>
      </w:r>
      <w:r>
        <w:t xml:space="preserve"> to test the study hypothesis. Quantitative data on the interest rate, exchange rate, and economic growth in Canada from the World Bank database between 1961 and 2017. The study's independent variables include </w:t>
      </w:r>
      <w:r>
        <w:lastRenderedPageBreak/>
        <w:t xml:space="preserve">interest rate and the exchange rate; on the other hand, the study's dependent variable is the economic growth proxied by GDP growth. The study will use the regression model to investigate the independent variables' effect on the dependent variable. </w:t>
      </w:r>
      <w:r w:rsidR="00C73F1A">
        <w:t xml:space="preserve">For the purpose of hypothesis testing, </w:t>
      </w:r>
      <w:r>
        <w:t xml:space="preserve">the study will utilize a test of statistical significance (5% significance level). The model's overall significance will be conducted using the "significance F (5% significance level". According to the test, the null hypothesis is rejected when the p-value is less than 0.05 and conclude that the overall model is statistically significant. </w:t>
      </w:r>
    </w:p>
    <w:p w14:paraId="11DB247E" w14:textId="5131374F" w:rsidR="00FF02AC" w:rsidRDefault="00207BA9">
      <w:pPr>
        <w:spacing w:line="480" w:lineRule="auto"/>
        <w:jc w:val="both"/>
      </w:pPr>
      <w:r>
        <w:tab/>
      </w:r>
      <w:r w:rsidR="00C73F1A">
        <w:t>Besides</w:t>
      </w:r>
      <w:r>
        <w:t>, association</w:t>
      </w:r>
      <w:r w:rsidR="00C73F1A">
        <w:t xml:space="preserve"> measures</w:t>
      </w:r>
      <w:r>
        <w:t xml:space="preserve"> will be conducted to determine the</w:t>
      </w:r>
      <w:r w:rsidR="00930184">
        <w:t xml:space="preserve"> independent variable’s</w:t>
      </w:r>
      <w:r>
        <w:t xml:space="preserve"> strength on the dependent variable. These measures include the scatter plot, correlation matrix, and the coefficient of determination. </w:t>
      </w:r>
    </w:p>
    <w:p w14:paraId="1F13ACB3" w14:textId="77777777" w:rsidR="00FF02AC" w:rsidRDefault="00207BA9">
      <w:pPr>
        <w:pStyle w:val="Heading1"/>
      </w:pPr>
      <w:bookmarkStart w:id="3" w:name="_heading=h.3znysh7" w:colFirst="0" w:colLast="0"/>
      <w:bookmarkEnd w:id="3"/>
      <w:r>
        <w:t xml:space="preserve">Empirical Results </w:t>
      </w:r>
    </w:p>
    <w:p w14:paraId="50D51EFA" w14:textId="77777777" w:rsidR="00FF02AC" w:rsidRDefault="00207BA9">
      <w:pPr>
        <w:spacing w:line="480" w:lineRule="auto"/>
        <w:jc w:val="both"/>
      </w:pPr>
      <w:r>
        <w:tab/>
        <w:t xml:space="preserve">This section presents the analysis and presentation of results. The paper's objective was to investigate the effect of interest rate and exchange rate on economic growth. Therefore, the research will conduct a multiple regression model to achieve this objective. </w:t>
      </w:r>
    </w:p>
    <w:p w14:paraId="1B122F65" w14:textId="77777777" w:rsidR="00FF02AC" w:rsidRDefault="00FF02AC">
      <w:pPr>
        <w:spacing w:line="480" w:lineRule="auto"/>
        <w:jc w:val="both"/>
      </w:pPr>
    </w:p>
    <w:p w14:paraId="23B0EF9D" w14:textId="77777777" w:rsidR="00FF02AC" w:rsidRDefault="00FF02AC">
      <w:pPr>
        <w:spacing w:line="480" w:lineRule="auto"/>
        <w:jc w:val="both"/>
      </w:pPr>
    </w:p>
    <w:p w14:paraId="55E51D2B" w14:textId="77777777" w:rsidR="00FF02AC" w:rsidRDefault="00FF02AC">
      <w:pPr>
        <w:spacing w:line="480" w:lineRule="auto"/>
        <w:jc w:val="both"/>
      </w:pPr>
    </w:p>
    <w:p w14:paraId="519CF13B" w14:textId="77777777" w:rsidR="00FF02AC" w:rsidRDefault="00207BA9">
      <w:pPr>
        <w:spacing w:line="480" w:lineRule="auto"/>
        <w:jc w:val="both"/>
        <w:rPr>
          <w:b/>
        </w:rPr>
      </w:pPr>
      <w:r>
        <w:rPr>
          <w:b/>
        </w:rPr>
        <w:t>Scatter Plot between Economic Growth and Interest Rate</w:t>
      </w:r>
    </w:p>
    <w:p w14:paraId="0CDF52E2" w14:textId="77777777" w:rsidR="00FF02AC" w:rsidRDefault="00207BA9">
      <w:pPr>
        <w:spacing w:line="480" w:lineRule="auto"/>
        <w:jc w:val="both"/>
      </w:pPr>
      <w:r>
        <w:rPr>
          <w:noProof/>
        </w:rPr>
        <w:lastRenderedPageBreak/>
        <w:drawing>
          <wp:inline distT="0" distB="0" distL="0" distR="0" wp14:anchorId="445D6D96" wp14:editId="4F41F2E0">
            <wp:extent cx="5943600" cy="4314825"/>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7B5189" w14:textId="77777777" w:rsidR="00FF02AC" w:rsidRDefault="00207BA9">
      <w:pPr>
        <w:spacing w:line="240" w:lineRule="auto"/>
        <w:jc w:val="both"/>
        <w:rPr>
          <w:b/>
        </w:rPr>
      </w:pPr>
      <w:r>
        <w:rPr>
          <w:b/>
        </w:rPr>
        <w:t>Figure 5: Scatter Plot between Economic Growth and Interest Rate</w:t>
      </w:r>
    </w:p>
    <w:p w14:paraId="0BF3DFC5" w14:textId="77777777" w:rsidR="00FF02AC" w:rsidRDefault="00207BA9">
      <w:pPr>
        <w:spacing w:line="240" w:lineRule="auto"/>
        <w:jc w:val="both"/>
        <w:rPr>
          <w:b/>
        </w:rPr>
      </w:pPr>
      <w:r>
        <w:rPr>
          <w:b/>
        </w:rPr>
        <w:t>Source: World Bank Database, 2020</w:t>
      </w:r>
    </w:p>
    <w:p w14:paraId="25DC4ABB" w14:textId="77777777" w:rsidR="00FF02AC" w:rsidRDefault="00207BA9">
      <w:pPr>
        <w:spacing w:line="480" w:lineRule="auto"/>
        <w:jc w:val="both"/>
      </w:pPr>
      <w:r>
        <w:tab/>
        <w:t xml:space="preserve">Figure 5 demonstrates a scatter plot between economic growth and interest rate over the study period. From the figure, the trend indicates a downward-sloping relationship. This indicates that, when the interest rate increases, the national income of a country will decline. This can be justified from the theory that when the interest rate goes up, the investment level will decline. Through the investment multiplier, the national income declines hence slowing down the economic growth. </w:t>
      </w:r>
    </w:p>
    <w:p w14:paraId="0F2BAA53" w14:textId="77777777" w:rsidR="00FF02AC" w:rsidRDefault="00207BA9">
      <w:pPr>
        <w:spacing w:line="480" w:lineRule="auto"/>
        <w:jc w:val="both"/>
      </w:pPr>
      <w:r>
        <w:rPr>
          <w:noProof/>
        </w:rPr>
        <w:lastRenderedPageBreak/>
        <w:drawing>
          <wp:inline distT="0" distB="0" distL="0" distR="0" wp14:anchorId="300F5DFB" wp14:editId="58954185">
            <wp:extent cx="5857875" cy="33528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31E315" w14:textId="77777777" w:rsidR="00FF02AC" w:rsidRDefault="00207BA9">
      <w:pPr>
        <w:spacing w:line="240" w:lineRule="auto"/>
        <w:jc w:val="both"/>
        <w:rPr>
          <w:b/>
        </w:rPr>
      </w:pPr>
      <w:r>
        <w:rPr>
          <w:b/>
        </w:rPr>
        <w:t>Figure 6: Scatter Plot between Economic Growth and Exchange Rate</w:t>
      </w:r>
    </w:p>
    <w:p w14:paraId="29E1678F" w14:textId="77777777" w:rsidR="00FF02AC" w:rsidRDefault="00207BA9">
      <w:pPr>
        <w:spacing w:line="240" w:lineRule="auto"/>
        <w:jc w:val="both"/>
        <w:rPr>
          <w:b/>
        </w:rPr>
      </w:pPr>
      <w:r>
        <w:rPr>
          <w:b/>
        </w:rPr>
        <w:t>Source: World Bank Database, 2020</w:t>
      </w:r>
    </w:p>
    <w:p w14:paraId="474EA500" w14:textId="77777777" w:rsidR="00FF02AC" w:rsidRDefault="00207BA9">
      <w:pPr>
        <w:spacing w:line="480" w:lineRule="auto"/>
        <w:jc w:val="both"/>
      </w:pPr>
      <w:r>
        <w:rPr>
          <w:b/>
        </w:rPr>
        <w:tab/>
      </w:r>
      <w:r>
        <w:t>Figure 6 demonstrates a scatter plot between economic growth and exchange rate. The diagram indicates a negative relationship. This conforms to the theory that economic growth will slow when the exchange rate increases and vice versa.</w:t>
      </w:r>
    </w:p>
    <w:p w14:paraId="2F1CD8DA" w14:textId="77777777" w:rsidR="00FF02AC" w:rsidRDefault="00207BA9">
      <w:pPr>
        <w:spacing w:line="480" w:lineRule="auto"/>
        <w:jc w:val="both"/>
        <w:rPr>
          <w:b/>
        </w:rPr>
      </w:pPr>
      <w:r>
        <w:rPr>
          <w:b/>
        </w:rPr>
        <w:t>Correlation Matrix</w:t>
      </w:r>
    </w:p>
    <w:p w14:paraId="00B7F399" w14:textId="77777777" w:rsidR="00FF02AC" w:rsidRDefault="00207BA9">
      <w:pPr>
        <w:spacing w:line="480" w:lineRule="auto"/>
        <w:jc w:val="both"/>
      </w:pPr>
      <w:r>
        <w:t>The following table shows the correlation matrix of the study variables.</w:t>
      </w:r>
    </w:p>
    <w:p w14:paraId="2C08E43D" w14:textId="77777777" w:rsidR="00FF02AC" w:rsidRDefault="00207BA9">
      <w:pPr>
        <w:spacing w:line="480" w:lineRule="auto"/>
        <w:jc w:val="both"/>
      </w:pPr>
      <w:r>
        <w:t>Table 1: Correlation Matrix</w:t>
      </w:r>
    </w:p>
    <w:tbl>
      <w:tblPr>
        <w:tblStyle w:val="a"/>
        <w:tblW w:w="8232" w:type="dxa"/>
        <w:tblLayout w:type="fixed"/>
        <w:tblLook w:val="0400" w:firstRow="0" w:lastRow="0" w:firstColumn="0" w:lastColumn="0" w:noHBand="0" w:noVBand="1"/>
      </w:tblPr>
      <w:tblGrid>
        <w:gridCol w:w="2224"/>
        <w:gridCol w:w="1793"/>
        <w:gridCol w:w="2224"/>
        <w:gridCol w:w="1991"/>
      </w:tblGrid>
      <w:tr w:rsidR="00FF02AC" w14:paraId="3A40A6AE" w14:textId="77777777">
        <w:trPr>
          <w:trHeight w:val="300"/>
        </w:trPr>
        <w:tc>
          <w:tcPr>
            <w:tcW w:w="2224" w:type="dxa"/>
            <w:tcBorders>
              <w:top w:val="single" w:sz="8" w:space="0" w:color="000000"/>
              <w:left w:val="nil"/>
              <w:bottom w:val="single" w:sz="4" w:space="0" w:color="000000"/>
              <w:right w:val="nil"/>
            </w:tcBorders>
            <w:shd w:val="clear" w:color="auto" w:fill="auto"/>
            <w:vAlign w:val="bottom"/>
          </w:tcPr>
          <w:p w14:paraId="6C28BFB7"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w:t>
            </w:r>
          </w:p>
        </w:tc>
        <w:tc>
          <w:tcPr>
            <w:tcW w:w="1793" w:type="dxa"/>
            <w:tcBorders>
              <w:top w:val="single" w:sz="8" w:space="0" w:color="000000"/>
              <w:left w:val="nil"/>
              <w:bottom w:val="single" w:sz="4" w:space="0" w:color="000000"/>
              <w:right w:val="nil"/>
            </w:tcBorders>
            <w:shd w:val="clear" w:color="auto" w:fill="auto"/>
            <w:vAlign w:val="bottom"/>
          </w:tcPr>
          <w:p w14:paraId="724FC6BA"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xml:space="preserve">GDP growth </w:t>
            </w:r>
          </w:p>
        </w:tc>
        <w:tc>
          <w:tcPr>
            <w:tcW w:w="2224" w:type="dxa"/>
            <w:tcBorders>
              <w:top w:val="single" w:sz="8" w:space="0" w:color="000000"/>
              <w:left w:val="nil"/>
              <w:bottom w:val="single" w:sz="4" w:space="0" w:color="000000"/>
              <w:right w:val="nil"/>
            </w:tcBorders>
            <w:shd w:val="clear" w:color="auto" w:fill="auto"/>
            <w:vAlign w:val="bottom"/>
          </w:tcPr>
          <w:p w14:paraId="7987BDBC"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Real interest rate</w:t>
            </w:r>
          </w:p>
        </w:tc>
        <w:tc>
          <w:tcPr>
            <w:tcW w:w="1991" w:type="dxa"/>
            <w:tcBorders>
              <w:top w:val="single" w:sz="8" w:space="0" w:color="000000"/>
              <w:left w:val="nil"/>
              <w:bottom w:val="single" w:sz="4" w:space="0" w:color="000000"/>
              <w:right w:val="nil"/>
            </w:tcBorders>
            <w:shd w:val="clear" w:color="auto" w:fill="auto"/>
            <w:vAlign w:val="bottom"/>
          </w:tcPr>
          <w:p w14:paraId="6786D25A"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xml:space="preserve">Exchange rate </w:t>
            </w:r>
          </w:p>
        </w:tc>
      </w:tr>
      <w:tr w:rsidR="00FF02AC" w14:paraId="57F49E2A" w14:textId="77777777">
        <w:trPr>
          <w:trHeight w:val="300"/>
        </w:trPr>
        <w:tc>
          <w:tcPr>
            <w:tcW w:w="2224" w:type="dxa"/>
            <w:tcBorders>
              <w:top w:val="nil"/>
              <w:left w:val="nil"/>
              <w:bottom w:val="nil"/>
              <w:right w:val="nil"/>
            </w:tcBorders>
            <w:shd w:val="clear" w:color="auto" w:fill="auto"/>
            <w:vAlign w:val="bottom"/>
          </w:tcPr>
          <w:p w14:paraId="5D472ED6"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GDP growth </w:t>
            </w:r>
          </w:p>
        </w:tc>
        <w:tc>
          <w:tcPr>
            <w:tcW w:w="1793" w:type="dxa"/>
            <w:tcBorders>
              <w:top w:val="nil"/>
              <w:left w:val="nil"/>
              <w:bottom w:val="nil"/>
              <w:right w:val="nil"/>
            </w:tcBorders>
            <w:shd w:val="clear" w:color="auto" w:fill="auto"/>
            <w:vAlign w:val="bottom"/>
          </w:tcPr>
          <w:p w14:paraId="0EDCA87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w:t>
            </w:r>
          </w:p>
        </w:tc>
        <w:tc>
          <w:tcPr>
            <w:tcW w:w="2224" w:type="dxa"/>
            <w:tcBorders>
              <w:top w:val="nil"/>
              <w:left w:val="nil"/>
              <w:bottom w:val="nil"/>
              <w:right w:val="nil"/>
            </w:tcBorders>
            <w:shd w:val="clear" w:color="auto" w:fill="auto"/>
            <w:vAlign w:val="bottom"/>
          </w:tcPr>
          <w:p w14:paraId="423816E7" w14:textId="77777777" w:rsidR="00FF02AC" w:rsidRDefault="00FF02AC">
            <w:pPr>
              <w:spacing w:after="0" w:line="240" w:lineRule="auto"/>
              <w:jc w:val="right"/>
              <w:rPr>
                <w:rFonts w:ascii="Calibri" w:eastAsia="Calibri" w:hAnsi="Calibri" w:cs="Calibri"/>
                <w:color w:val="000000"/>
                <w:sz w:val="22"/>
                <w:szCs w:val="22"/>
              </w:rPr>
            </w:pPr>
          </w:p>
        </w:tc>
        <w:tc>
          <w:tcPr>
            <w:tcW w:w="1991" w:type="dxa"/>
            <w:tcBorders>
              <w:top w:val="nil"/>
              <w:left w:val="nil"/>
              <w:bottom w:val="nil"/>
              <w:right w:val="nil"/>
            </w:tcBorders>
            <w:shd w:val="clear" w:color="auto" w:fill="auto"/>
            <w:vAlign w:val="bottom"/>
          </w:tcPr>
          <w:p w14:paraId="7CD379CD" w14:textId="77777777" w:rsidR="00FF02AC" w:rsidRDefault="00FF02AC">
            <w:pPr>
              <w:spacing w:after="0" w:line="240" w:lineRule="auto"/>
              <w:rPr>
                <w:sz w:val="20"/>
                <w:szCs w:val="20"/>
              </w:rPr>
            </w:pPr>
          </w:p>
        </w:tc>
      </w:tr>
      <w:tr w:rsidR="00FF02AC" w14:paraId="6851B088" w14:textId="77777777">
        <w:trPr>
          <w:trHeight w:val="300"/>
        </w:trPr>
        <w:tc>
          <w:tcPr>
            <w:tcW w:w="2224" w:type="dxa"/>
            <w:tcBorders>
              <w:top w:val="nil"/>
              <w:left w:val="nil"/>
              <w:bottom w:val="nil"/>
              <w:right w:val="nil"/>
            </w:tcBorders>
            <w:shd w:val="clear" w:color="auto" w:fill="auto"/>
            <w:vAlign w:val="bottom"/>
          </w:tcPr>
          <w:p w14:paraId="5E64924A"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Real interest rate</w:t>
            </w:r>
          </w:p>
        </w:tc>
        <w:tc>
          <w:tcPr>
            <w:tcW w:w="1793" w:type="dxa"/>
            <w:tcBorders>
              <w:top w:val="nil"/>
              <w:left w:val="nil"/>
              <w:bottom w:val="nil"/>
              <w:right w:val="nil"/>
            </w:tcBorders>
            <w:shd w:val="clear" w:color="auto" w:fill="auto"/>
            <w:vAlign w:val="bottom"/>
          </w:tcPr>
          <w:p w14:paraId="534D0356"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-0.210925473</w:t>
            </w:r>
          </w:p>
        </w:tc>
        <w:tc>
          <w:tcPr>
            <w:tcW w:w="2224" w:type="dxa"/>
            <w:tcBorders>
              <w:top w:val="nil"/>
              <w:left w:val="nil"/>
              <w:bottom w:val="nil"/>
              <w:right w:val="nil"/>
            </w:tcBorders>
            <w:shd w:val="clear" w:color="auto" w:fill="auto"/>
            <w:vAlign w:val="bottom"/>
          </w:tcPr>
          <w:p w14:paraId="4C85EE0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w:t>
            </w:r>
          </w:p>
        </w:tc>
        <w:tc>
          <w:tcPr>
            <w:tcW w:w="1991" w:type="dxa"/>
            <w:tcBorders>
              <w:top w:val="nil"/>
              <w:left w:val="nil"/>
              <w:bottom w:val="nil"/>
              <w:right w:val="nil"/>
            </w:tcBorders>
            <w:shd w:val="clear" w:color="auto" w:fill="auto"/>
            <w:vAlign w:val="bottom"/>
          </w:tcPr>
          <w:p w14:paraId="49088E8E" w14:textId="77777777" w:rsidR="00FF02AC" w:rsidRDefault="00FF02AC">
            <w:pPr>
              <w:spacing w:after="0" w:line="240" w:lineRule="auto"/>
              <w:jc w:val="right"/>
              <w:rPr>
                <w:rFonts w:ascii="Calibri" w:eastAsia="Calibri" w:hAnsi="Calibri" w:cs="Calibri"/>
                <w:color w:val="000000"/>
                <w:sz w:val="22"/>
                <w:szCs w:val="22"/>
              </w:rPr>
            </w:pPr>
          </w:p>
        </w:tc>
      </w:tr>
      <w:tr w:rsidR="00FF02AC" w14:paraId="480CC586" w14:textId="77777777">
        <w:trPr>
          <w:trHeight w:val="315"/>
        </w:trPr>
        <w:tc>
          <w:tcPr>
            <w:tcW w:w="2224" w:type="dxa"/>
            <w:tcBorders>
              <w:top w:val="nil"/>
              <w:left w:val="nil"/>
              <w:bottom w:val="single" w:sz="8" w:space="0" w:color="000000"/>
              <w:right w:val="nil"/>
            </w:tcBorders>
            <w:shd w:val="clear" w:color="auto" w:fill="auto"/>
            <w:vAlign w:val="bottom"/>
          </w:tcPr>
          <w:p w14:paraId="20EE2E2B"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Exchange rate </w:t>
            </w:r>
          </w:p>
        </w:tc>
        <w:tc>
          <w:tcPr>
            <w:tcW w:w="1793" w:type="dxa"/>
            <w:tcBorders>
              <w:top w:val="nil"/>
              <w:left w:val="nil"/>
              <w:bottom w:val="single" w:sz="8" w:space="0" w:color="000000"/>
              <w:right w:val="nil"/>
            </w:tcBorders>
            <w:shd w:val="clear" w:color="auto" w:fill="auto"/>
            <w:vAlign w:val="bottom"/>
          </w:tcPr>
          <w:p w14:paraId="6C6DFC8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-0.15200017</w:t>
            </w:r>
          </w:p>
        </w:tc>
        <w:tc>
          <w:tcPr>
            <w:tcW w:w="2224" w:type="dxa"/>
            <w:tcBorders>
              <w:top w:val="nil"/>
              <w:left w:val="nil"/>
              <w:bottom w:val="single" w:sz="8" w:space="0" w:color="000000"/>
              <w:right w:val="nil"/>
            </w:tcBorders>
            <w:shd w:val="clear" w:color="auto" w:fill="auto"/>
            <w:vAlign w:val="bottom"/>
          </w:tcPr>
          <w:p w14:paraId="527D261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0.437754523</w:t>
            </w:r>
          </w:p>
        </w:tc>
        <w:tc>
          <w:tcPr>
            <w:tcW w:w="1991" w:type="dxa"/>
            <w:tcBorders>
              <w:top w:val="nil"/>
              <w:left w:val="nil"/>
              <w:bottom w:val="single" w:sz="8" w:space="0" w:color="000000"/>
              <w:right w:val="nil"/>
            </w:tcBorders>
            <w:shd w:val="clear" w:color="auto" w:fill="auto"/>
            <w:vAlign w:val="bottom"/>
          </w:tcPr>
          <w:p w14:paraId="262A83B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w:t>
            </w:r>
          </w:p>
        </w:tc>
      </w:tr>
    </w:tbl>
    <w:p w14:paraId="2D0273AE" w14:textId="77777777" w:rsidR="00FF02AC" w:rsidRDefault="00FF02AC">
      <w:pPr>
        <w:spacing w:line="480" w:lineRule="auto"/>
        <w:jc w:val="both"/>
      </w:pPr>
    </w:p>
    <w:p w14:paraId="521CB76C" w14:textId="5931192D" w:rsidR="00FF02AC" w:rsidRDefault="00207BA9">
      <w:pPr>
        <w:spacing w:line="480" w:lineRule="auto"/>
        <w:jc w:val="both"/>
      </w:pPr>
      <w:r>
        <w:lastRenderedPageBreak/>
        <w:t>From Table 1 above, the correlation between the two independent variables is negative on the dependent variable. This shows that</w:t>
      </w:r>
      <w:r w:rsidR="00C73F1A">
        <w:t xml:space="preserve"> national income will go down</w:t>
      </w:r>
      <w:r>
        <w:t xml:space="preserve"> when the real interest rate and exchange rate increase, and vice versa. </w:t>
      </w:r>
    </w:p>
    <w:p w14:paraId="32B58293" w14:textId="77777777" w:rsidR="00FF02AC" w:rsidRDefault="00207BA9">
      <w:pPr>
        <w:spacing w:line="480" w:lineRule="auto"/>
        <w:jc w:val="both"/>
      </w:pPr>
      <w:r>
        <w:t>Regression Output</w:t>
      </w:r>
    </w:p>
    <w:p w14:paraId="785F2128" w14:textId="6151A974" w:rsidR="00FF02AC" w:rsidRDefault="00207BA9">
      <w:pPr>
        <w:spacing w:line="480" w:lineRule="auto"/>
        <w:jc w:val="both"/>
      </w:pPr>
      <w:r>
        <w:t>To achieve the study</w:t>
      </w:r>
      <w:r w:rsidR="00C73F1A">
        <w:t xml:space="preserve"> objective</w:t>
      </w:r>
      <w:r>
        <w:t>, the paper conducted a multiple regression model. The regression output is presented in the table below.</w:t>
      </w:r>
    </w:p>
    <w:tbl>
      <w:tblPr>
        <w:tblStyle w:val="a0"/>
        <w:tblW w:w="9377" w:type="dxa"/>
        <w:tblLayout w:type="fixed"/>
        <w:tblLook w:val="0400" w:firstRow="0" w:lastRow="0" w:firstColumn="0" w:lastColumn="0" w:noHBand="0" w:noVBand="1"/>
      </w:tblPr>
      <w:tblGrid>
        <w:gridCol w:w="3108"/>
        <w:gridCol w:w="1111"/>
        <w:gridCol w:w="1113"/>
        <w:gridCol w:w="932"/>
        <w:gridCol w:w="1030"/>
        <w:gridCol w:w="1129"/>
        <w:gridCol w:w="954"/>
      </w:tblGrid>
      <w:tr w:rsidR="00FF02AC" w14:paraId="11D18D66" w14:textId="77777777" w:rsidTr="00FE2BF4">
        <w:trPr>
          <w:trHeight w:val="232"/>
        </w:trPr>
        <w:tc>
          <w:tcPr>
            <w:tcW w:w="3108" w:type="dxa"/>
            <w:tcBorders>
              <w:top w:val="nil"/>
              <w:left w:val="nil"/>
              <w:bottom w:val="nil"/>
              <w:right w:val="nil"/>
            </w:tcBorders>
            <w:shd w:val="clear" w:color="auto" w:fill="auto"/>
            <w:vAlign w:val="bottom"/>
          </w:tcPr>
          <w:p w14:paraId="748800FA"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SUMMARY OUTPUT</w:t>
            </w:r>
          </w:p>
        </w:tc>
        <w:tc>
          <w:tcPr>
            <w:tcW w:w="1110" w:type="dxa"/>
            <w:tcBorders>
              <w:top w:val="nil"/>
              <w:left w:val="nil"/>
              <w:bottom w:val="nil"/>
              <w:right w:val="nil"/>
            </w:tcBorders>
            <w:shd w:val="clear" w:color="auto" w:fill="auto"/>
            <w:vAlign w:val="bottom"/>
          </w:tcPr>
          <w:p w14:paraId="209A63FE" w14:textId="77777777" w:rsidR="00FF02AC" w:rsidRDefault="00FF02AC">
            <w:pPr>
              <w:spacing w:after="0" w:line="240" w:lineRule="auto"/>
              <w:rPr>
                <w:rFonts w:ascii="Calibri" w:eastAsia="Calibri" w:hAnsi="Calibri" w:cs="Calibri"/>
                <w:color w:val="000000"/>
                <w:sz w:val="22"/>
                <w:szCs w:val="22"/>
              </w:rPr>
            </w:pPr>
          </w:p>
        </w:tc>
        <w:tc>
          <w:tcPr>
            <w:tcW w:w="1113" w:type="dxa"/>
            <w:tcBorders>
              <w:top w:val="nil"/>
              <w:left w:val="nil"/>
              <w:bottom w:val="nil"/>
              <w:right w:val="nil"/>
            </w:tcBorders>
            <w:shd w:val="clear" w:color="auto" w:fill="auto"/>
            <w:vAlign w:val="bottom"/>
          </w:tcPr>
          <w:p w14:paraId="5DFAD3C6"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7A9B3E39"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30AF151B"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47C98526"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1905E291" w14:textId="77777777" w:rsidR="00FF02AC" w:rsidRDefault="00FF02AC">
            <w:pPr>
              <w:spacing w:after="0" w:line="240" w:lineRule="auto"/>
              <w:rPr>
                <w:sz w:val="20"/>
                <w:szCs w:val="20"/>
              </w:rPr>
            </w:pPr>
          </w:p>
        </w:tc>
      </w:tr>
      <w:tr w:rsidR="00FF02AC" w14:paraId="25AB02AC" w14:textId="77777777" w:rsidTr="00FE2BF4">
        <w:trPr>
          <w:trHeight w:val="232"/>
        </w:trPr>
        <w:tc>
          <w:tcPr>
            <w:tcW w:w="3108" w:type="dxa"/>
            <w:tcBorders>
              <w:top w:val="nil"/>
              <w:left w:val="nil"/>
              <w:bottom w:val="nil"/>
              <w:right w:val="nil"/>
            </w:tcBorders>
            <w:shd w:val="clear" w:color="auto" w:fill="auto"/>
            <w:vAlign w:val="bottom"/>
          </w:tcPr>
          <w:p w14:paraId="2F2A48CA" w14:textId="77777777" w:rsidR="00FF02AC" w:rsidRDefault="00FF02AC">
            <w:pPr>
              <w:spacing w:after="0" w:line="240" w:lineRule="auto"/>
              <w:rPr>
                <w:sz w:val="20"/>
                <w:szCs w:val="20"/>
              </w:rPr>
            </w:pPr>
          </w:p>
        </w:tc>
        <w:tc>
          <w:tcPr>
            <w:tcW w:w="1110" w:type="dxa"/>
            <w:tcBorders>
              <w:top w:val="nil"/>
              <w:left w:val="nil"/>
              <w:bottom w:val="nil"/>
              <w:right w:val="nil"/>
            </w:tcBorders>
            <w:shd w:val="clear" w:color="auto" w:fill="auto"/>
            <w:vAlign w:val="bottom"/>
          </w:tcPr>
          <w:p w14:paraId="043732D8" w14:textId="77777777" w:rsidR="00FF02AC" w:rsidRDefault="00FF02AC">
            <w:pPr>
              <w:spacing w:after="0" w:line="240" w:lineRule="auto"/>
              <w:rPr>
                <w:sz w:val="20"/>
                <w:szCs w:val="20"/>
              </w:rPr>
            </w:pPr>
          </w:p>
        </w:tc>
        <w:tc>
          <w:tcPr>
            <w:tcW w:w="1113" w:type="dxa"/>
            <w:tcBorders>
              <w:top w:val="nil"/>
              <w:left w:val="nil"/>
              <w:bottom w:val="nil"/>
              <w:right w:val="nil"/>
            </w:tcBorders>
            <w:shd w:val="clear" w:color="auto" w:fill="auto"/>
            <w:vAlign w:val="bottom"/>
          </w:tcPr>
          <w:p w14:paraId="54A64A8E"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0A870B5F"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79CBF08F"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1FD88EDE"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51EDAA4C" w14:textId="77777777" w:rsidR="00FF02AC" w:rsidRDefault="00FF02AC">
            <w:pPr>
              <w:spacing w:after="0" w:line="240" w:lineRule="auto"/>
              <w:rPr>
                <w:sz w:val="20"/>
                <w:szCs w:val="20"/>
              </w:rPr>
            </w:pPr>
          </w:p>
        </w:tc>
      </w:tr>
      <w:tr w:rsidR="00FF02AC" w14:paraId="345EA6F8" w14:textId="77777777" w:rsidTr="00FE2BF4">
        <w:trPr>
          <w:trHeight w:val="232"/>
        </w:trPr>
        <w:tc>
          <w:tcPr>
            <w:tcW w:w="4219" w:type="dxa"/>
            <w:gridSpan w:val="2"/>
            <w:tcBorders>
              <w:top w:val="single" w:sz="4" w:space="0" w:color="000000"/>
              <w:left w:val="nil"/>
              <w:bottom w:val="single" w:sz="4" w:space="0" w:color="000000"/>
              <w:right w:val="nil"/>
            </w:tcBorders>
            <w:shd w:val="clear" w:color="auto" w:fill="auto"/>
            <w:vAlign w:val="bottom"/>
          </w:tcPr>
          <w:p w14:paraId="2C924AE4"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Regression Statistics</w:t>
            </w:r>
          </w:p>
        </w:tc>
        <w:tc>
          <w:tcPr>
            <w:tcW w:w="1113" w:type="dxa"/>
            <w:tcBorders>
              <w:top w:val="nil"/>
              <w:left w:val="nil"/>
              <w:bottom w:val="nil"/>
              <w:right w:val="nil"/>
            </w:tcBorders>
            <w:shd w:val="clear" w:color="auto" w:fill="auto"/>
            <w:vAlign w:val="bottom"/>
          </w:tcPr>
          <w:p w14:paraId="034FCE78" w14:textId="77777777" w:rsidR="00FF02AC" w:rsidRDefault="00FF02AC">
            <w:pPr>
              <w:spacing w:after="0" w:line="240" w:lineRule="auto"/>
              <w:jc w:val="center"/>
              <w:rPr>
                <w:rFonts w:ascii="Calibri" w:eastAsia="Calibri" w:hAnsi="Calibri" w:cs="Calibri"/>
                <w:i/>
                <w:color w:val="000000"/>
                <w:sz w:val="22"/>
                <w:szCs w:val="22"/>
              </w:rPr>
            </w:pPr>
          </w:p>
        </w:tc>
        <w:tc>
          <w:tcPr>
            <w:tcW w:w="932" w:type="dxa"/>
            <w:tcBorders>
              <w:top w:val="nil"/>
              <w:left w:val="nil"/>
              <w:bottom w:val="nil"/>
              <w:right w:val="nil"/>
            </w:tcBorders>
            <w:shd w:val="clear" w:color="auto" w:fill="auto"/>
            <w:vAlign w:val="bottom"/>
          </w:tcPr>
          <w:p w14:paraId="27B08991"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3A9A4D74"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4C9A3A73"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53C1296A" w14:textId="77777777" w:rsidR="00FF02AC" w:rsidRDefault="00FF02AC">
            <w:pPr>
              <w:spacing w:after="0" w:line="240" w:lineRule="auto"/>
              <w:rPr>
                <w:sz w:val="20"/>
                <w:szCs w:val="20"/>
              </w:rPr>
            </w:pPr>
          </w:p>
        </w:tc>
      </w:tr>
      <w:tr w:rsidR="00FF02AC" w14:paraId="37D9A84F" w14:textId="77777777" w:rsidTr="00FE2BF4">
        <w:trPr>
          <w:trHeight w:val="244"/>
        </w:trPr>
        <w:tc>
          <w:tcPr>
            <w:tcW w:w="3108" w:type="dxa"/>
            <w:tcBorders>
              <w:top w:val="nil"/>
              <w:left w:val="nil"/>
              <w:bottom w:val="nil"/>
              <w:right w:val="nil"/>
            </w:tcBorders>
            <w:shd w:val="clear" w:color="auto" w:fill="auto"/>
            <w:vAlign w:val="bottom"/>
          </w:tcPr>
          <w:p w14:paraId="2E383B4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Multiple R</w:t>
            </w:r>
          </w:p>
        </w:tc>
        <w:tc>
          <w:tcPr>
            <w:tcW w:w="1110" w:type="dxa"/>
            <w:tcBorders>
              <w:top w:val="nil"/>
              <w:left w:val="nil"/>
              <w:bottom w:val="nil"/>
              <w:right w:val="nil"/>
            </w:tcBorders>
            <w:shd w:val="clear" w:color="auto" w:fill="auto"/>
            <w:vAlign w:val="bottom"/>
          </w:tcPr>
          <w:p w14:paraId="3E47F68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0.2211</w:t>
            </w:r>
          </w:p>
        </w:tc>
        <w:tc>
          <w:tcPr>
            <w:tcW w:w="1113" w:type="dxa"/>
            <w:tcBorders>
              <w:top w:val="nil"/>
              <w:left w:val="nil"/>
              <w:bottom w:val="nil"/>
              <w:right w:val="nil"/>
            </w:tcBorders>
            <w:shd w:val="clear" w:color="auto" w:fill="auto"/>
            <w:vAlign w:val="bottom"/>
          </w:tcPr>
          <w:p w14:paraId="69CA698B"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153FF009"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50E84A62"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7A7A6585"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449589F0" w14:textId="77777777" w:rsidR="00FF02AC" w:rsidRDefault="00FF02AC">
            <w:pPr>
              <w:spacing w:after="0" w:line="240" w:lineRule="auto"/>
              <w:rPr>
                <w:sz w:val="20"/>
                <w:szCs w:val="20"/>
              </w:rPr>
            </w:pPr>
          </w:p>
        </w:tc>
      </w:tr>
      <w:tr w:rsidR="00FF02AC" w14:paraId="1C269CF5" w14:textId="77777777" w:rsidTr="00FE2BF4">
        <w:trPr>
          <w:trHeight w:val="232"/>
        </w:trPr>
        <w:tc>
          <w:tcPr>
            <w:tcW w:w="3108" w:type="dxa"/>
            <w:tcBorders>
              <w:top w:val="nil"/>
              <w:left w:val="nil"/>
              <w:bottom w:val="nil"/>
              <w:right w:val="nil"/>
            </w:tcBorders>
            <w:shd w:val="clear" w:color="auto" w:fill="auto"/>
            <w:vAlign w:val="bottom"/>
          </w:tcPr>
          <w:p w14:paraId="341ABCA9"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 Square</w:t>
            </w:r>
          </w:p>
        </w:tc>
        <w:tc>
          <w:tcPr>
            <w:tcW w:w="1110" w:type="dxa"/>
            <w:tcBorders>
              <w:top w:val="nil"/>
              <w:left w:val="nil"/>
              <w:bottom w:val="nil"/>
              <w:right w:val="nil"/>
            </w:tcBorders>
            <w:shd w:val="clear" w:color="auto" w:fill="auto"/>
            <w:vAlign w:val="bottom"/>
          </w:tcPr>
          <w:p w14:paraId="00C470B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0.0489</w:t>
            </w:r>
          </w:p>
        </w:tc>
        <w:tc>
          <w:tcPr>
            <w:tcW w:w="1113" w:type="dxa"/>
            <w:tcBorders>
              <w:top w:val="nil"/>
              <w:left w:val="nil"/>
              <w:bottom w:val="nil"/>
              <w:right w:val="nil"/>
            </w:tcBorders>
            <w:shd w:val="clear" w:color="auto" w:fill="auto"/>
            <w:vAlign w:val="bottom"/>
          </w:tcPr>
          <w:p w14:paraId="0B241337"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0201E174"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1D32CE29"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411BC0C5"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60BF0B6F" w14:textId="77777777" w:rsidR="00FF02AC" w:rsidRDefault="00FF02AC">
            <w:pPr>
              <w:spacing w:after="0" w:line="240" w:lineRule="auto"/>
              <w:rPr>
                <w:sz w:val="20"/>
                <w:szCs w:val="20"/>
              </w:rPr>
            </w:pPr>
          </w:p>
        </w:tc>
      </w:tr>
      <w:tr w:rsidR="00FF02AC" w14:paraId="6D6C80BB" w14:textId="77777777" w:rsidTr="00FE2BF4">
        <w:trPr>
          <w:trHeight w:val="232"/>
        </w:trPr>
        <w:tc>
          <w:tcPr>
            <w:tcW w:w="3108" w:type="dxa"/>
            <w:tcBorders>
              <w:top w:val="nil"/>
              <w:left w:val="nil"/>
              <w:bottom w:val="nil"/>
              <w:right w:val="nil"/>
            </w:tcBorders>
            <w:shd w:val="clear" w:color="auto" w:fill="auto"/>
            <w:vAlign w:val="bottom"/>
          </w:tcPr>
          <w:p w14:paraId="1060319B"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Adjusted R Square</w:t>
            </w:r>
          </w:p>
        </w:tc>
        <w:tc>
          <w:tcPr>
            <w:tcW w:w="1110" w:type="dxa"/>
            <w:tcBorders>
              <w:top w:val="nil"/>
              <w:left w:val="nil"/>
              <w:bottom w:val="nil"/>
              <w:right w:val="nil"/>
            </w:tcBorders>
            <w:shd w:val="clear" w:color="auto" w:fill="auto"/>
            <w:vAlign w:val="bottom"/>
          </w:tcPr>
          <w:p w14:paraId="555BCF8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0.0137</w:t>
            </w:r>
          </w:p>
        </w:tc>
        <w:tc>
          <w:tcPr>
            <w:tcW w:w="1113" w:type="dxa"/>
            <w:tcBorders>
              <w:top w:val="nil"/>
              <w:left w:val="nil"/>
              <w:bottom w:val="nil"/>
              <w:right w:val="nil"/>
            </w:tcBorders>
            <w:shd w:val="clear" w:color="auto" w:fill="auto"/>
            <w:vAlign w:val="bottom"/>
          </w:tcPr>
          <w:p w14:paraId="3E35BEDE"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2EE82D68"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1C22B1B2"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7A07B501"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14B7E22C" w14:textId="77777777" w:rsidR="00FF02AC" w:rsidRDefault="00FF02AC">
            <w:pPr>
              <w:spacing w:after="0" w:line="240" w:lineRule="auto"/>
              <w:rPr>
                <w:sz w:val="20"/>
                <w:szCs w:val="20"/>
              </w:rPr>
            </w:pPr>
          </w:p>
        </w:tc>
      </w:tr>
      <w:tr w:rsidR="00FF02AC" w14:paraId="0F93EE89" w14:textId="77777777" w:rsidTr="00FE2BF4">
        <w:trPr>
          <w:trHeight w:val="232"/>
        </w:trPr>
        <w:tc>
          <w:tcPr>
            <w:tcW w:w="3108" w:type="dxa"/>
            <w:tcBorders>
              <w:top w:val="nil"/>
              <w:left w:val="nil"/>
              <w:bottom w:val="nil"/>
              <w:right w:val="nil"/>
            </w:tcBorders>
            <w:shd w:val="clear" w:color="auto" w:fill="auto"/>
            <w:vAlign w:val="bottom"/>
          </w:tcPr>
          <w:p w14:paraId="76938276"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Standard Error</w:t>
            </w:r>
          </w:p>
        </w:tc>
        <w:tc>
          <w:tcPr>
            <w:tcW w:w="1110" w:type="dxa"/>
            <w:tcBorders>
              <w:top w:val="nil"/>
              <w:left w:val="nil"/>
              <w:bottom w:val="nil"/>
              <w:right w:val="nil"/>
            </w:tcBorders>
            <w:shd w:val="clear" w:color="auto" w:fill="auto"/>
            <w:vAlign w:val="bottom"/>
          </w:tcPr>
          <w:p w14:paraId="1400E4E0"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0.0221</w:t>
            </w:r>
          </w:p>
        </w:tc>
        <w:tc>
          <w:tcPr>
            <w:tcW w:w="1113" w:type="dxa"/>
            <w:tcBorders>
              <w:top w:val="nil"/>
              <w:left w:val="nil"/>
              <w:bottom w:val="nil"/>
              <w:right w:val="nil"/>
            </w:tcBorders>
            <w:shd w:val="clear" w:color="auto" w:fill="auto"/>
            <w:vAlign w:val="bottom"/>
          </w:tcPr>
          <w:p w14:paraId="01593088"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55A78C00"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17B2B77E"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3E361366"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3B92F37E" w14:textId="77777777" w:rsidR="00FF02AC" w:rsidRDefault="00FF02AC">
            <w:pPr>
              <w:spacing w:after="0" w:line="240" w:lineRule="auto"/>
              <w:rPr>
                <w:sz w:val="20"/>
                <w:szCs w:val="20"/>
              </w:rPr>
            </w:pPr>
          </w:p>
        </w:tc>
      </w:tr>
      <w:tr w:rsidR="00FF02AC" w14:paraId="06A94F59" w14:textId="77777777" w:rsidTr="00FE2BF4">
        <w:trPr>
          <w:trHeight w:val="232"/>
        </w:trPr>
        <w:tc>
          <w:tcPr>
            <w:tcW w:w="3108" w:type="dxa"/>
            <w:tcBorders>
              <w:top w:val="nil"/>
              <w:left w:val="nil"/>
              <w:bottom w:val="single" w:sz="4" w:space="0" w:color="000000"/>
              <w:right w:val="nil"/>
            </w:tcBorders>
            <w:shd w:val="clear" w:color="auto" w:fill="auto"/>
            <w:vAlign w:val="bottom"/>
          </w:tcPr>
          <w:p w14:paraId="3932B55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Observations</w:t>
            </w:r>
          </w:p>
        </w:tc>
        <w:tc>
          <w:tcPr>
            <w:tcW w:w="1110" w:type="dxa"/>
            <w:tcBorders>
              <w:top w:val="nil"/>
              <w:left w:val="nil"/>
              <w:bottom w:val="single" w:sz="4" w:space="0" w:color="000000"/>
              <w:right w:val="nil"/>
            </w:tcBorders>
            <w:shd w:val="clear" w:color="auto" w:fill="auto"/>
            <w:vAlign w:val="bottom"/>
          </w:tcPr>
          <w:p w14:paraId="6964A87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57.0000</w:t>
            </w:r>
          </w:p>
        </w:tc>
        <w:tc>
          <w:tcPr>
            <w:tcW w:w="1113" w:type="dxa"/>
            <w:tcBorders>
              <w:top w:val="nil"/>
              <w:left w:val="nil"/>
              <w:bottom w:val="nil"/>
              <w:right w:val="nil"/>
            </w:tcBorders>
            <w:shd w:val="clear" w:color="auto" w:fill="auto"/>
            <w:vAlign w:val="bottom"/>
          </w:tcPr>
          <w:p w14:paraId="559EFA53"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4EF624FB"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53F5A16D"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113EB030"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2CF9CFE5" w14:textId="77777777" w:rsidR="00FF02AC" w:rsidRDefault="00FF02AC">
            <w:pPr>
              <w:spacing w:after="0" w:line="240" w:lineRule="auto"/>
              <w:rPr>
                <w:sz w:val="20"/>
                <w:szCs w:val="20"/>
              </w:rPr>
            </w:pPr>
          </w:p>
        </w:tc>
      </w:tr>
      <w:tr w:rsidR="00FF02AC" w14:paraId="07909708" w14:textId="77777777" w:rsidTr="00FE2BF4">
        <w:trPr>
          <w:trHeight w:val="232"/>
        </w:trPr>
        <w:tc>
          <w:tcPr>
            <w:tcW w:w="3108" w:type="dxa"/>
            <w:tcBorders>
              <w:top w:val="nil"/>
              <w:left w:val="nil"/>
              <w:bottom w:val="nil"/>
              <w:right w:val="nil"/>
            </w:tcBorders>
            <w:shd w:val="clear" w:color="auto" w:fill="auto"/>
            <w:vAlign w:val="bottom"/>
          </w:tcPr>
          <w:p w14:paraId="2855C3ED" w14:textId="77777777" w:rsidR="00FF02AC" w:rsidRDefault="00FF02AC">
            <w:pPr>
              <w:spacing w:after="0" w:line="240" w:lineRule="auto"/>
              <w:rPr>
                <w:sz w:val="20"/>
                <w:szCs w:val="20"/>
              </w:rPr>
            </w:pPr>
          </w:p>
        </w:tc>
        <w:tc>
          <w:tcPr>
            <w:tcW w:w="1110" w:type="dxa"/>
            <w:tcBorders>
              <w:top w:val="nil"/>
              <w:left w:val="nil"/>
              <w:bottom w:val="nil"/>
              <w:right w:val="nil"/>
            </w:tcBorders>
            <w:shd w:val="clear" w:color="auto" w:fill="auto"/>
            <w:vAlign w:val="bottom"/>
          </w:tcPr>
          <w:p w14:paraId="7D4A3695" w14:textId="77777777" w:rsidR="00FF02AC" w:rsidRDefault="00FF02AC">
            <w:pPr>
              <w:spacing w:after="0" w:line="240" w:lineRule="auto"/>
              <w:rPr>
                <w:sz w:val="20"/>
                <w:szCs w:val="20"/>
              </w:rPr>
            </w:pPr>
          </w:p>
        </w:tc>
        <w:tc>
          <w:tcPr>
            <w:tcW w:w="1113" w:type="dxa"/>
            <w:tcBorders>
              <w:top w:val="nil"/>
              <w:left w:val="nil"/>
              <w:bottom w:val="nil"/>
              <w:right w:val="nil"/>
            </w:tcBorders>
            <w:shd w:val="clear" w:color="auto" w:fill="auto"/>
            <w:vAlign w:val="bottom"/>
          </w:tcPr>
          <w:p w14:paraId="231CEA04"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274A66E8"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6C5AA8BF"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6D0898C0"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7DD8F735" w14:textId="77777777" w:rsidR="00FF02AC" w:rsidRDefault="00FF02AC">
            <w:pPr>
              <w:spacing w:after="0" w:line="240" w:lineRule="auto"/>
              <w:rPr>
                <w:sz w:val="20"/>
                <w:szCs w:val="20"/>
              </w:rPr>
            </w:pPr>
          </w:p>
        </w:tc>
      </w:tr>
      <w:tr w:rsidR="00FF02AC" w14:paraId="747DE4BF" w14:textId="77777777" w:rsidTr="00FE2BF4">
        <w:trPr>
          <w:trHeight w:val="232"/>
        </w:trPr>
        <w:tc>
          <w:tcPr>
            <w:tcW w:w="3108" w:type="dxa"/>
            <w:tcBorders>
              <w:top w:val="nil"/>
              <w:left w:val="nil"/>
              <w:bottom w:val="nil"/>
              <w:right w:val="nil"/>
            </w:tcBorders>
            <w:shd w:val="clear" w:color="auto" w:fill="auto"/>
            <w:vAlign w:val="bottom"/>
          </w:tcPr>
          <w:p w14:paraId="50FEBB3D"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ANOVA</w:t>
            </w:r>
          </w:p>
        </w:tc>
        <w:tc>
          <w:tcPr>
            <w:tcW w:w="1110" w:type="dxa"/>
            <w:tcBorders>
              <w:top w:val="nil"/>
              <w:left w:val="nil"/>
              <w:bottom w:val="nil"/>
              <w:right w:val="nil"/>
            </w:tcBorders>
            <w:shd w:val="clear" w:color="auto" w:fill="auto"/>
            <w:vAlign w:val="bottom"/>
          </w:tcPr>
          <w:p w14:paraId="5761E8E1" w14:textId="77777777" w:rsidR="00FF02AC" w:rsidRDefault="00FF02AC">
            <w:pPr>
              <w:spacing w:after="0" w:line="240" w:lineRule="auto"/>
              <w:rPr>
                <w:rFonts w:ascii="Calibri" w:eastAsia="Calibri" w:hAnsi="Calibri" w:cs="Calibri"/>
                <w:color w:val="000000"/>
                <w:sz w:val="22"/>
                <w:szCs w:val="22"/>
              </w:rPr>
            </w:pPr>
          </w:p>
        </w:tc>
        <w:tc>
          <w:tcPr>
            <w:tcW w:w="1113" w:type="dxa"/>
            <w:tcBorders>
              <w:top w:val="nil"/>
              <w:left w:val="nil"/>
              <w:bottom w:val="nil"/>
              <w:right w:val="nil"/>
            </w:tcBorders>
            <w:shd w:val="clear" w:color="auto" w:fill="auto"/>
            <w:vAlign w:val="bottom"/>
          </w:tcPr>
          <w:p w14:paraId="622FD1C8"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5F8FE1E3"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2DD9A173"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11138668"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3517FE27" w14:textId="77777777" w:rsidR="00FF02AC" w:rsidRDefault="00FF02AC">
            <w:pPr>
              <w:spacing w:after="0" w:line="240" w:lineRule="auto"/>
              <w:rPr>
                <w:sz w:val="20"/>
                <w:szCs w:val="20"/>
              </w:rPr>
            </w:pPr>
          </w:p>
        </w:tc>
      </w:tr>
      <w:tr w:rsidR="00FF02AC" w14:paraId="77097BCB" w14:textId="77777777" w:rsidTr="00FE2BF4">
        <w:trPr>
          <w:trHeight w:val="232"/>
        </w:trPr>
        <w:tc>
          <w:tcPr>
            <w:tcW w:w="3108" w:type="dxa"/>
            <w:tcBorders>
              <w:top w:val="single" w:sz="4" w:space="0" w:color="000000"/>
              <w:left w:val="nil"/>
              <w:bottom w:val="single" w:sz="4" w:space="0" w:color="000000"/>
              <w:right w:val="nil"/>
            </w:tcBorders>
            <w:shd w:val="clear" w:color="auto" w:fill="auto"/>
            <w:vAlign w:val="bottom"/>
          </w:tcPr>
          <w:p w14:paraId="1CBD77A3"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w:t>
            </w:r>
          </w:p>
        </w:tc>
        <w:tc>
          <w:tcPr>
            <w:tcW w:w="1110" w:type="dxa"/>
            <w:tcBorders>
              <w:top w:val="single" w:sz="4" w:space="0" w:color="000000"/>
              <w:left w:val="nil"/>
              <w:bottom w:val="single" w:sz="4" w:space="0" w:color="000000"/>
              <w:right w:val="nil"/>
            </w:tcBorders>
            <w:shd w:val="clear" w:color="auto" w:fill="auto"/>
            <w:vAlign w:val="bottom"/>
          </w:tcPr>
          <w:p w14:paraId="2BA3729F"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df</w:t>
            </w:r>
          </w:p>
        </w:tc>
        <w:tc>
          <w:tcPr>
            <w:tcW w:w="1113" w:type="dxa"/>
            <w:tcBorders>
              <w:top w:val="single" w:sz="4" w:space="0" w:color="000000"/>
              <w:left w:val="nil"/>
              <w:bottom w:val="single" w:sz="4" w:space="0" w:color="000000"/>
              <w:right w:val="nil"/>
            </w:tcBorders>
            <w:shd w:val="clear" w:color="auto" w:fill="auto"/>
            <w:vAlign w:val="bottom"/>
          </w:tcPr>
          <w:p w14:paraId="3870FF66"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SS</w:t>
            </w:r>
          </w:p>
        </w:tc>
        <w:tc>
          <w:tcPr>
            <w:tcW w:w="932" w:type="dxa"/>
            <w:tcBorders>
              <w:top w:val="single" w:sz="4" w:space="0" w:color="000000"/>
              <w:left w:val="nil"/>
              <w:bottom w:val="single" w:sz="4" w:space="0" w:color="000000"/>
              <w:right w:val="nil"/>
            </w:tcBorders>
            <w:shd w:val="clear" w:color="auto" w:fill="auto"/>
            <w:vAlign w:val="bottom"/>
          </w:tcPr>
          <w:p w14:paraId="6202CA63"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MS</w:t>
            </w:r>
          </w:p>
        </w:tc>
        <w:tc>
          <w:tcPr>
            <w:tcW w:w="1030" w:type="dxa"/>
            <w:tcBorders>
              <w:top w:val="single" w:sz="4" w:space="0" w:color="000000"/>
              <w:left w:val="nil"/>
              <w:bottom w:val="single" w:sz="4" w:space="0" w:color="000000"/>
              <w:right w:val="nil"/>
            </w:tcBorders>
            <w:shd w:val="clear" w:color="auto" w:fill="auto"/>
            <w:vAlign w:val="bottom"/>
          </w:tcPr>
          <w:p w14:paraId="201B2C1B"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F</w:t>
            </w:r>
          </w:p>
        </w:tc>
        <w:tc>
          <w:tcPr>
            <w:tcW w:w="1129" w:type="dxa"/>
            <w:tcBorders>
              <w:top w:val="single" w:sz="4" w:space="0" w:color="000000"/>
              <w:left w:val="nil"/>
              <w:bottom w:val="single" w:sz="4" w:space="0" w:color="000000"/>
              <w:right w:val="nil"/>
            </w:tcBorders>
            <w:shd w:val="clear" w:color="auto" w:fill="auto"/>
            <w:vAlign w:val="bottom"/>
          </w:tcPr>
          <w:p w14:paraId="4D77D01D"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Significance F</w:t>
            </w:r>
          </w:p>
        </w:tc>
        <w:tc>
          <w:tcPr>
            <w:tcW w:w="954" w:type="dxa"/>
            <w:tcBorders>
              <w:top w:val="nil"/>
              <w:left w:val="nil"/>
              <w:bottom w:val="nil"/>
              <w:right w:val="nil"/>
            </w:tcBorders>
            <w:shd w:val="clear" w:color="auto" w:fill="auto"/>
            <w:vAlign w:val="bottom"/>
          </w:tcPr>
          <w:p w14:paraId="0877CD3E" w14:textId="77777777" w:rsidR="00FF02AC" w:rsidRDefault="00FF02AC">
            <w:pPr>
              <w:spacing w:after="0" w:line="240" w:lineRule="auto"/>
              <w:jc w:val="center"/>
              <w:rPr>
                <w:rFonts w:ascii="Calibri" w:eastAsia="Calibri" w:hAnsi="Calibri" w:cs="Calibri"/>
                <w:i/>
                <w:color w:val="000000"/>
                <w:sz w:val="22"/>
                <w:szCs w:val="22"/>
              </w:rPr>
            </w:pPr>
          </w:p>
        </w:tc>
      </w:tr>
      <w:tr w:rsidR="00FF02AC" w14:paraId="3A87FB52" w14:textId="77777777" w:rsidTr="00FE2BF4">
        <w:trPr>
          <w:trHeight w:val="232"/>
        </w:trPr>
        <w:tc>
          <w:tcPr>
            <w:tcW w:w="3108" w:type="dxa"/>
            <w:tcBorders>
              <w:top w:val="nil"/>
              <w:left w:val="nil"/>
              <w:bottom w:val="nil"/>
              <w:right w:val="nil"/>
            </w:tcBorders>
            <w:shd w:val="clear" w:color="auto" w:fill="auto"/>
            <w:vAlign w:val="bottom"/>
          </w:tcPr>
          <w:p w14:paraId="41DF0465"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Regression</w:t>
            </w:r>
          </w:p>
        </w:tc>
        <w:tc>
          <w:tcPr>
            <w:tcW w:w="1110" w:type="dxa"/>
            <w:tcBorders>
              <w:top w:val="nil"/>
              <w:left w:val="nil"/>
              <w:bottom w:val="nil"/>
              <w:right w:val="nil"/>
            </w:tcBorders>
            <w:shd w:val="clear" w:color="auto" w:fill="auto"/>
            <w:vAlign w:val="bottom"/>
          </w:tcPr>
          <w:p w14:paraId="23B87507"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2</w:t>
            </w:r>
          </w:p>
        </w:tc>
        <w:tc>
          <w:tcPr>
            <w:tcW w:w="1113" w:type="dxa"/>
            <w:tcBorders>
              <w:top w:val="nil"/>
              <w:left w:val="nil"/>
              <w:bottom w:val="nil"/>
              <w:right w:val="nil"/>
            </w:tcBorders>
            <w:shd w:val="clear" w:color="auto" w:fill="auto"/>
            <w:vAlign w:val="bottom"/>
          </w:tcPr>
          <w:p w14:paraId="766E5B51"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0.000136</w:t>
            </w:r>
          </w:p>
        </w:tc>
        <w:tc>
          <w:tcPr>
            <w:tcW w:w="932" w:type="dxa"/>
            <w:tcBorders>
              <w:top w:val="nil"/>
              <w:left w:val="nil"/>
              <w:bottom w:val="nil"/>
              <w:right w:val="nil"/>
            </w:tcBorders>
            <w:shd w:val="clear" w:color="auto" w:fill="auto"/>
            <w:vAlign w:val="bottom"/>
          </w:tcPr>
          <w:p w14:paraId="02B22119"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0.000681</w:t>
            </w:r>
          </w:p>
        </w:tc>
        <w:tc>
          <w:tcPr>
            <w:tcW w:w="1030" w:type="dxa"/>
            <w:tcBorders>
              <w:top w:val="nil"/>
              <w:left w:val="nil"/>
              <w:bottom w:val="nil"/>
              <w:right w:val="nil"/>
            </w:tcBorders>
            <w:shd w:val="clear" w:color="auto" w:fill="auto"/>
            <w:vAlign w:val="bottom"/>
          </w:tcPr>
          <w:p w14:paraId="06AC7A80"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10.387991</w:t>
            </w:r>
          </w:p>
        </w:tc>
        <w:tc>
          <w:tcPr>
            <w:tcW w:w="1129" w:type="dxa"/>
            <w:tcBorders>
              <w:top w:val="nil"/>
              <w:left w:val="nil"/>
              <w:bottom w:val="nil"/>
              <w:right w:val="nil"/>
            </w:tcBorders>
            <w:shd w:val="clear" w:color="auto" w:fill="auto"/>
            <w:vAlign w:val="bottom"/>
          </w:tcPr>
          <w:p w14:paraId="21E43FB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0.025834</w:t>
            </w:r>
          </w:p>
        </w:tc>
        <w:tc>
          <w:tcPr>
            <w:tcW w:w="954" w:type="dxa"/>
            <w:tcBorders>
              <w:top w:val="nil"/>
              <w:left w:val="nil"/>
              <w:bottom w:val="nil"/>
              <w:right w:val="nil"/>
            </w:tcBorders>
            <w:shd w:val="clear" w:color="auto" w:fill="auto"/>
            <w:vAlign w:val="bottom"/>
          </w:tcPr>
          <w:p w14:paraId="4C6E322E" w14:textId="77777777" w:rsidR="00FF02AC" w:rsidRDefault="00FF02AC">
            <w:pPr>
              <w:spacing w:after="0" w:line="240" w:lineRule="auto"/>
              <w:jc w:val="right"/>
              <w:rPr>
                <w:rFonts w:ascii="Calibri" w:eastAsia="Calibri" w:hAnsi="Calibri" w:cs="Calibri"/>
                <w:color w:val="000000"/>
                <w:sz w:val="22"/>
                <w:szCs w:val="22"/>
              </w:rPr>
            </w:pPr>
          </w:p>
        </w:tc>
      </w:tr>
      <w:tr w:rsidR="00FF02AC" w14:paraId="471F02FF" w14:textId="77777777" w:rsidTr="00FE2BF4">
        <w:trPr>
          <w:trHeight w:val="232"/>
        </w:trPr>
        <w:tc>
          <w:tcPr>
            <w:tcW w:w="3108" w:type="dxa"/>
            <w:tcBorders>
              <w:top w:val="nil"/>
              <w:left w:val="nil"/>
              <w:bottom w:val="nil"/>
              <w:right w:val="nil"/>
            </w:tcBorders>
            <w:shd w:val="clear" w:color="auto" w:fill="auto"/>
            <w:vAlign w:val="bottom"/>
          </w:tcPr>
          <w:p w14:paraId="0DC14A77"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Residual</w:t>
            </w:r>
          </w:p>
        </w:tc>
        <w:tc>
          <w:tcPr>
            <w:tcW w:w="1110" w:type="dxa"/>
            <w:tcBorders>
              <w:top w:val="nil"/>
              <w:left w:val="nil"/>
              <w:bottom w:val="nil"/>
              <w:right w:val="nil"/>
            </w:tcBorders>
            <w:shd w:val="clear" w:color="auto" w:fill="auto"/>
            <w:vAlign w:val="bottom"/>
          </w:tcPr>
          <w:p w14:paraId="4B526A4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54</w:t>
            </w:r>
          </w:p>
        </w:tc>
        <w:tc>
          <w:tcPr>
            <w:tcW w:w="1113" w:type="dxa"/>
            <w:tcBorders>
              <w:top w:val="nil"/>
              <w:left w:val="nil"/>
              <w:bottom w:val="nil"/>
              <w:right w:val="nil"/>
            </w:tcBorders>
            <w:shd w:val="clear" w:color="auto" w:fill="auto"/>
            <w:vAlign w:val="bottom"/>
          </w:tcPr>
          <w:p w14:paraId="33C3343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0.002649</w:t>
            </w:r>
          </w:p>
        </w:tc>
        <w:tc>
          <w:tcPr>
            <w:tcW w:w="932" w:type="dxa"/>
            <w:tcBorders>
              <w:top w:val="nil"/>
              <w:left w:val="nil"/>
              <w:bottom w:val="nil"/>
              <w:right w:val="nil"/>
            </w:tcBorders>
            <w:shd w:val="clear" w:color="auto" w:fill="auto"/>
            <w:vAlign w:val="bottom"/>
          </w:tcPr>
          <w:p w14:paraId="62B67AA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0.000049</w:t>
            </w:r>
          </w:p>
        </w:tc>
        <w:tc>
          <w:tcPr>
            <w:tcW w:w="1030" w:type="dxa"/>
            <w:tcBorders>
              <w:top w:val="nil"/>
              <w:left w:val="nil"/>
              <w:bottom w:val="nil"/>
              <w:right w:val="nil"/>
            </w:tcBorders>
            <w:shd w:val="clear" w:color="auto" w:fill="auto"/>
            <w:vAlign w:val="bottom"/>
          </w:tcPr>
          <w:p w14:paraId="0D8BD7EC" w14:textId="77777777" w:rsidR="00FF02AC" w:rsidRDefault="00FF02AC">
            <w:pPr>
              <w:spacing w:after="0" w:line="240" w:lineRule="auto"/>
              <w:jc w:val="right"/>
              <w:rPr>
                <w:rFonts w:ascii="Calibri" w:eastAsia="Calibri" w:hAnsi="Calibri" w:cs="Calibri"/>
                <w:color w:val="000000"/>
                <w:sz w:val="22"/>
                <w:szCs w:val="22"/>
              </w:rPr>
            </w:pPr>
          </w:p>
        </w:tc>
        <w:tc>
          <w:tcPr>
            <w:tcW w:w="1129" w:type="dxa"/>
            <w:tcBorders>
              <w:top w:val="nil"/>
              <w:left w:val="nil"/>
              <w:bottom w:val="nil"/>
              <w:right w:val="nil"/>
            </w:tcBorders>
            <w:shd w:val="clear" w:color="auto" w:fill="auto"/>
            <w:vAlign w:val="bottom"/>
          </w:tcPr>
          <w:p w14:paraId="48E73341"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68A61921" w14:textId="77777777" w:rsidR="00FF02AC" w:rsidRDefault="00FF02AC">
            <w:pPr>
              <w:spacing w:after="0" w:line="240" w:lineRule="auto"/>
              <w:rPr>
                <w:sz w:val="20"/>
                <w:szCs w:val="20"/>
              </w:rPr>
            </w:pPr>
          </w:p>
        </w:tc>
      </w:tr>
      <w:tr w:rsidR="00FF02AC" w14:paraId="74A86D81" w14:textId="77777777" w:rsidTr="00FE2BF4">
        <w:trPr>
          <w:trHeight w:val="232"/>
        </w:trPr>
        <w:tc>
          <w:tcPr>
            <w:tcW w:w="3108" w:type="dxa"/>
            <w:tcBorders>
              <w:top w:val="nil"/>
              <w:left w:val="nil"/>
              <w:bottom w:val="single" w:sz="4" w:space="0" w:color="000000"/>
              <w:right w:val="nil"/>
            </w:tcBorders>
            <w:shd w:val="clear" w:color="auto" w:fill="auto"/>
            <w:vAlign w:val="bottom"/>
          </w:tcPr>
          <w:p w14:paraId="0BC2BBB8"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Total</w:t>
            </w:r>
          </w:p>
        </w:tc>
        <w:tc>
          <w:tcPr>
            <w:tcW w:w="1110" w:type="dxa"/>
            <w:tcBorders>
              <w:top w:val="nil"/>
              <w:left w:val="nil"/>
              <w:bottom w:val="single" w:sz="4" w:space="0" w:color="000000"/>
              <w:right w:val="nil"/>
            </w:tcBorders>
            <w:shd w:val="clear" w:color="auto" w:fill="auto"/>
            <w:vAlign w:val="bottom"/>
          </w:tcPr>
          <w:p w14:paraId="48A83578"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56</w:t>
            </w:r>
          </w:p>
        </w:tc>
        <w:tc>
          <w:tcPr>
            <w:tcW w:w="1113" w:type="dxa"/>
            <w:tcBorders>
              <w:top w:val="nil"/>
              <w:left w:val="nil"/>
              <w:bottom w:val="single" w:sz="4" w:space="0" w:color="000000"/>
              <w:right w:val="nil"/>
            </w:tcBorders>
            <w:shd w:val="clear" w:color="auto" w:fill="auto"/>
            <w:vAlign w:val="bottom"/>
          </w:tcPr>
          <w:p w14:paraId="78181C3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0.020785</w:t>
            </w:r>
          </w:p>
        </w:tc>
        <w:tc>
          <w:tcPr>
            <w:tcW w:w="932" w:type="dxa"/>
            <w:tcBorders>
              <w:top w:val="nil"/>
              <w:left w:val="nil"/>
              <w:bottom w:val="single" w:sz="4" w:space="0" w:color="000000"/>
              <w:right w:val="nil"/>
            </w:tcBorders>
            <w:shd w:val="clear" w:color="auto" w:fill="auto"/>
            <w:vAlign w:val="bottom"/>
          </w:tcPr>
          <w:p w14:paraId="4FFEC80A"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w:t>
            </w:r>
          </w:p>
        </w:tc>
        <w:tc>
          <w:tcPr>
            <w:tcW w:w="1030" w:type="dxa"/>
            <w:tcBorders>
              <w:top w:val="nil"/>
              <w:left w:val="nil"/>
              <w:bottom w:val="single" w:sz="4" w:space="0" w:color="000000"/>
              <w:right w:val="nil"/>
            </w:tcBorders>
            <w:shd w:val="clear" w:color="auto" w:fill="auto"/>
            <w:vAlign w:val="bottom"/>
          </w:tcPr>
          <w:p w14:paraId="7C4CF6A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w:t>
            </w:r>
          </w:p>
        </w:tc>
        <w:tc>
          <w:tcPr>
            <w:tcW w:w="1129" w:type="dxa"/>
            <w:tcBorders>
              <w:top w:val="nil"/>
              <w:left w:val="nil"/>
              <w:bottom w:val="single" w:sz="4" w:space="0" w:color="000000"/>
              <w:right w:val="nil"/>
            </w:tcBorders>
            <w:shd w:val="clear" w:color="auto" w:fill="auto"/>
            <w:vAlign w:val="bottom"/>
          </w:tcPr>
          <w:p w14:paraId="2FA06341"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w:t>
            </w:r>
          </w:p>
        </w:tc>
        <w:tc>
          <w:tcPr>
            <w:tcW w:w="954" w:type="dxa"/>
            <w:tcBorders>
              <w:top w:val="nil"/>
              <w:left w:val="nil"/>
              <w:bottom w:val="nil"/>
              <w:right w:val="nil"/>
            </w:tcBorders>
            <w:shd w:val="clear" w:color="auto" w:fill="auto"/>
            <w:vAlign w:val="bottom"/>
          </w:tcPr>
          <w:p w14:paraId="370C79C6" w14:textId="77777777" w:rsidR="00FF02AC" w:rsidRDefault="00FF02AC">
            <w:pPr>
              <w:spacing w:after="0" w:line="240" w:lineRule="auto"/>
              <w:rPr>
                <w:rFonts w:ascii="Calibri" w:eastAsia="Calibri" w:hAnsi="Calibri" w:cs="Calibri"/>
                <w:color w:val="000000"/>
                <w:sz w:val="22"/>
                <w:szCs w:val="22"/>
              </w:rPr>
            </w:pPr>
          </w:p>
        </w:tc>
      </w:tr>
      <w:tr w:rsidR="00FF02AC" w14:paraId="685912E7" w14:textId="77777777" w:rsidTr="00FE2BF4">
        <w:trPr>
          <w:trHeight w:val="244"/>
        </w:trPr>
        <w:tc>
          <w:tcPr>
            <w:tcW w:w="3108" w:type="dxa"/>
            <w:tcBorders>
              <w:top w:val="nil"/>
              <w:left w:val="nil"/>
              <w:bottom w:val="nil"/>
              <w:right w:val="nil"/>
            </w:tcBorders>
            <w:shd w:val="clear" w:color="auto" w:fill="auto"/>
            <w:vAlign w:val="bottom"/>
          </w:tcPr>
          <w:p w14:paraId="7C7DE020" w14:textId="77777777" w:rsidR="00FF02AC" w:rsidRDefault="00FF02AC">
            <w:pPr>
              <w:spacing w:after="0" w:line="240" w:lineRule="auto"/>
              <w:rPr>
                <w:sz w:val="20"/>
                <w:szCs w:val="20"/>
              </w:rPr>
            </w:pPr>
          </w:p>
        </w:tc>
        <w:tc>
          <w:tcPr>
            <w:tcW w:w="1110" w:type="dxa"/>
            <w:tcBorders>
              <w:top w:val="nil"/>
              <w:left w:val="nil"/>
              <w:bottom w:val="nil"/>
              <w:right w:val="nil"/>
            </w:tcBorders>
            <w:shd w:val="clear" w:color="auto" w:fill="auto"/>
            <w:vAlign w:val="bottom"/>
          </w:tcPr>
          <w:p w14:paraId="040C2BFB" w14:textId="77777777" w:rsidR="00FF02AC" w:rsidRDefault="00FF02AC">
            <w:pPr>
              <w:spacing w:after="0" w:line="240" w:lineRule="auto"/>
              <w:rPr>
                <w:sz w:val="20"/>
                <w:szCs w:val="20"/>
              </w:rPr>
            </w:pPr>
          </w:p>
        </w:tc>
        <w:tc>
          <w:tcPr>
            <w:tcW w:w="1113" w:type="dxa"/>
            <w:tcBorders>
              <w:top w:val="nil"/>
              <w:left w:val="nil"/>
              <w:bottom w:val="nil"/>
              <w:right w:val="nil"/>
            </w:tcBorders>
            <w:shd w:val="clear" w:color="auto" w:fill="auto"/>
            <w:vAlign w:val="bottom"/>
          </w:tcPr>
          <w:p w14:paraId="61FFF581"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337A2DFB"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7142C109"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28F461B8"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4255959A" w14:textId="77777777" w:rsidR="00FF02AC" w:rsidRDefault="00FF02AC">
            <w:pPr>
              <w:spacing w:after="0" w:line="240" w:lineRule="auto"/>
              <w:rPr>
                <w:sz w:val="20"/>
                <w:szCs w:val="20"/>
              </w:rPr>
            </w:pPr>
          </w:p>
        </w:tc>
      </w:tr>
      <w:tr w:rsidR="00FF02AC" w14:paraId="695D1EB5" w14:textId="77777777" w:rsidTr="00FE2BF4">
        <w:trPr>
          <w:trHeight w:val="232"/>
        </w:trPr>
        <w:tc>
          <w:tcPr>
            <w:tcW w:w="3108" w:type="dxa"/>
            <w:tcBorders>
              <w:top w:val="single" w:sz="4" w:space="0" w:color="000000"/>
              <w:left w:val="nil"/>
              <w:bottom w:val="single" w:sz="4" w:space="0" w:color="000000"/>
              <w:right w:val="nil"/>
            </w:tcBorders>
            <w:shd w:val="clear" w:color="auto" w:fill="auto"/>
            <w:vAlign w:val="bottom"/>
          </w:tcPr>
          <w:p w14:paraId="3C371F94"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w:t>
            </w:r>
          </w:p>
        </w:tc>
        <w:tc>
          <w:tcPr>
            <w:tcW w:w="1110" w:type="dxa"/>
            <w:tcBorders>
              <w:top w:val="single" w:sz="4" w:space="0" w:color="000000"/>
              <w:left w:val="nil"/>
              <w:bottom w:val="single" w:sz="4" w:space="0" w:color="000000"/>
              <w:right w:val="nil"/>
            </w:tcBorders>
            <w:shd w:val="clear" w:color="auto" w:fill="auto"/>
            <w:vAlign w:val="bottom"/>
          </w:tcPr>
          <w:p w14:paraId="29C34DAE"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Coefficients</w:t>
            </w:r>
          </w:p>
        </w:tc>
        <w:tc>
          <w:tcPr>
            <w:tcW w:w="1113" w:type="dxa"/>
            <w:tcBorders>
              <w:top w:val="single" w:sz="4" w:space="0" w:color="000000"/>
              <w:left w:val="nil"/>
              <w:bottom w:val="single" w:sz="4" w:space="0" w:color="000000"/>
              <w:right w:val="nil"/>
            </w:tcBorders>
            <w:shd w:val="clear" w:color="auto" w:fill="auto"/>
            <w:vAlign w:val="bottom"/>
          </w:tcPr>
          <w:p w14:paraId="4487C8AE"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Standard Error</w:t>
            </w:r>
          </w:p>
        </w:tc>
        <w:tc>
          <w:tcPr>
            <w:tcW w:w="932" w:type="dxa"/>
            <w:tcBorders>
              <w:top w:val="single" w:sz="4" w:space="0" w:color="000000"/>
              <w:left w:val="nil"/>
              <w:bottom w:val="single" w:sz="4" w:space="0" w:color="000000"/>
              <w:right w:val="nil"/>
            </w:tcBorders>
            <w:shd w:val="clear" w:color="auto" w:fill="auto"/>
            <w:vAlign w:val="bottom"/>
          </w:tcPr>
          <w:p w14:paraId="282A8518"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t Stat</w:t>
            </w:r>
          </w:p>
        </w:tc>
        <w:tc>
          <w:tcPr>
            <w:tcW w:w="1030" w:type="dxa"/>
            <w:tcBorders>
              <w:top w:val="single" w:sz="4" w:space="0" w:color="000000"/>
              <w:left w:val="nil"/>
              <w:bottom w:val="single" w:sz="4" w:space="0" w:color="000000"/>
              <w:right w:val="nil"/>
            </w:tcBorders>
            <w:shd w:val="clear" w:color="auto" w:fill="auto"/>
            <w:vAlign w:val="bottom"/>
          </w:tcPr>
          <w:p w14:paraId="0240A0F2"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P-value</w:t>
            </w:r>
          </w:p>
        </w:tc>
        <w:tc>
          <w:tcPr>
            <w:tcW w:w="1129" w:type="dxa"/>
            <w:tcBorders>
              <w:top w:val="single" w:sz="4" w:space="0" w:color="000000"/>
              <w:left w:val="nil"/>
              <w:bottom w:val="single" w:sz="4" w:space="0" w:color="000000"/>
              <w:right w:val="nil"/>
            </w:tcBorders>
            <w:shd w:val="clear" w:color="auto" w:fill="auto"/>
            <w:vAlign w:val="bottom"/>
          </w:tcPr>
          <w:p w14:paraId="046B1260"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Lower 95%</w:t>
            </w:r>
          </w:p>
        </w:tc>
        <w:tc>
          <w:tcPr>
            <w:tcW w:w="954" w:type="dxa"/>
            <w:tcBorders>
              <w:top w:val="single" w:sz="4" w:space="0" w:color="000000"/>
              <w:left w:val="nil"/>
              <w:bottom w:val="single" w:sz="4" w:space="0" w:color="000000"/>
              <w:right w:val="nil"/>
            </w:tcBorders>
            <w:shd w:val="clear" w:color="auto" w:fill="auto"/>
            <w:vAlign w:val="bottom"/>
          </w:tcPr>
          <w:p w14:paraId="1AAC91AB"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Upper 95%</w:t>
            </w:r>
          </w:p>
        </w:tc>
      </w:tr>
      <w:tr w:rsidR="00FF02AC" w14:paraId="3BFBD058" w14:textId="77777777" w:rsidTr="00FE2BF4">
        <w:trPr>
          <w:trHeight w:val="232"/>
        </w:trPr>
        <w:tc>
          <w:tcPr>
            <w:tcW w:w="3108" w:type="dxa"/>
            <w:tcBorders>
              <w:top w:val="nil"/>
              <w:left w:val="nil"/>
              <w:bottom w:val="nil"/>
              <w:right w:val="nil"/>
            </w:tcBorders>
            <w:shd w:val="clear" w:color="auto" w:fill="auto"/>
            <w:vAlign w:val="bottom"/>
          </w:tcPr>
          <w:p w14:paraId="346FEF4B"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Intercept</w:t>
            </w:r>
          </w:p>
        </w:tc>
        <w:tc>
          <w:tcPr>
            <w:tcW w:w="1110" w:type="dxa"/>
            <w:tcBorders>
              <w:top w:val="nil"/>
              <w:left w:val="nil"/>
              <w:bottom w:val="nil"/>
              <w:right w:val="nil"/>
            </w:tcBorders>
            <w:shd w:val="clear" w:color="auto" w:fill="auto"/>
            <w:vAlign w:val="bottom"/>
          </w:tcPr>
          <w:p w14:paraId="453BD0D6"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0.0503</w:t>
            </w:r>
          </w:p>
        </w:tc>
        <w:tc>
          <w:tcPr>
            <w:tcW w:w="1113" w:type="dxa"/>
            <w:tcBorders>
              <w:top w:val="nil"/>
              <w:left w:val="nil"/>
              <w:bottom w:val="nil"/>
              <w:right w:val="nil"/>
            </w:tcBorders>
            <w:shd w:val="clear" w:color="auto" w:fill="auto"/>
            <w:vAlign w:val="bottom"/>
          </w:tcPr>
          <w:p w14:paraId="22C76B40"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0.0231</w:t>
            </w:r>
          </w:p>
        </w:tc>
        <w:tc>
          <w:tcPr>
            <w:tcW w:w="932" w:type="dxa"/>
            <w:tcBorders>
              <w:top w:val="nil"/>
              <w:left w:val="nil"/>
              <w:bottom w:val="nil"/>
              <w:right w:val="nil"/>
            </w:tcBorders>
            <w:shd w:val="clear" w:color="auto" w:fill="auto"/>
            <w:vAlign w:val="bottom"/>
          </w:tcPr>
          <w:p w14:paraId="576A30F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2.1784</w:t>
            </w:r>
          </w:p>
        </w:tc>
        <w:tc>
          <w:tcPr>
            <w:tcW w:w="1030" w:type="dxa"/>
            <w:tcBorders>
              <w:top w:val="nil"/>
              <w:left w:val="nil"/>
              <w:bottom w:val="nil"/>
              <w:right w:val="nil"/>
            </w:tcBorders>
            <w:shd w:val="clear" w:color="auto" w:fill="auto"/>
            <w:vAlign w:val="bottom"/>
          </w:tcPr>
          <w:p w14:paraId="1FE669B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0.0338</w:t>
            </w:r>
          </w:p>
        </w:tc>
        <w:tc>
          <w:tcPr>
            <w:tcW w:w="1129" w:type="dxa"/>
            <w:tcBorders>
              <w:top w:val="nil"/>
              <w:left w:val="nil"/>
              <w:bottom w:val="nil"/>
              <w:right w:val="nil"/>
            </w:tcBorders>
            <w:shd w:val="clear" w:color="auto" w:fill="auto"/>
            <w:vAlign w:val="bottom"/>
          </w:tcPr>
          <w:p w14:paraId="6571C14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0.0040</w:t>
            </w:r>
          </w:p>
        </w:tc>
        <w:tc>
          <w:tcPr>
            <w:tcW w:w="954" w:type="dxa"/>
            <w:tcBorders>
              <w:top w:val="nil"/>
              <w:left w:val="nil"/>
              <w:bottom w:val="nil"/>
              <w:right w:val="nil"/>
            </w:tcBorders>
            <w:shd w:val="clear" w:color="auto" w:fill="auto"/>
            <w:vAlign w:val="bottom"/>
          </w:tcPr>
          <w:p w14:paraId="5811BFE6"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0.0966</w:t>
            </w:r>
          </w:p>
        </w:tc>
      </w:tr>
      <w:tr w:rsidR="00FF02AC" w14:paraId="7FA7F9C6" w14:textId="77777777" w:rsidTr="00FE2BF4">
        <w:trPr>
          <w:trHeight w:val="232"/>
        </w:trPr>
        <w:tc>
          <w:tcPr>
            <w:tcW w:w="3108" w:type="dxa"/>
            <w:tcBorders>
              <w:top w:val="nil"/>
              <w:left w:val="nil"/>
              <w:bottom w:val="nil"/>
              <w:right w:val="nil"/>
            </w:tcBorders>
            <w:shd w:val="clear" w:color="auto" w:fill="auto"/>
            <w:vAlign w:val="bottom"/>
          </w:tcPr>
          <w:p w14:paraId="46748820"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Real interest rate</w:t>
            </w:r>
          </w:p>
        </w:tc>
        <w:tc>
          <w:tcPr>
            <w:tcW w:w="1110" w:type="dxa"/>
            <w:tcBorders>
              <w:top w:val="nil"/>
              <w:left w:val="nil"/>
              <w:bottom w:val="nil"/>
              <w:right w:val="nil"/>
            </w:tcBorders>
            <w:shd w:val="clear" w:color="auto" w:fill="auto"/>
            <w:vAlign w:val="bottom"/>
          </w:tcPr>
          <w:p w14:paraId="7F970A6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-0.1436</w:t>
            </w:r>
          </w:p>
        </w:tc>
        <w:tc>
          <w:tcPr>
            <w:tcW w:w="1113" w:type="dxa"/>
            <w:tcBorders>
              <w:top w:val="nil"/>
              <w:left w:val="nil"/>
              <w:bottom w:val="nil"/>
              <w:right w:val="nil"/>
            </w:tcBorders>
            <w:shd w:val="clear" w:color="auto" w:fill="auto"/>
            <w:vAlign w:val="bottom"/>
          </w:tcPr>
          <w:p w14:paraId="6076853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0.0447</w:t>
            </w:r>
          </w:p>
        </w:tc>
        <w:tc>
          <w:tcPr>
            <w:tcW w:w="932" w:type="dxa"/>
            <w:tcBorders>
              <w:top w:val="nil"/>
              <w:left w:val="nil"/>
              <w:bottom w:val="nil"/>
              <w:right w:val="nil"/>
            </w:tcBorders>
            <w:shd w:val="clear" w:color="auto" w:fill="auto"/>
            <w:vAlign w:val="bottom"/>
          </w:tcPr>
          <w:p w14:paraId="3DE104D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-3.2101</w:t>
            </w:r>
          </w:p>
        </w:tc>
        <w:tc>
          <w:tcPr>
            <w:tcW w:w="1030" w:type="dxa"/>
            <w:tcBorders>
              <w:top w:val="nil"/>
              <w:left w:val="nil"/>
              <w:bottom w:val="nil"/>
              <w:right w:val="nil"/>
            </w:tcBorders>
            <w:shd w:val="clear" w:color="auto" w:fill="auto"/>
            <w:vAlign w:val="bottom"/>
          </w:tcPr>
          <w:p w14:paraId="7C847E7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0.0232</w:t>
            </w:r>
          </w:p>
        </w:tc>
        <w:tc>
          <w:tcPr>
            <w:tcW w:w="1129" w:type="dxa"/>
            <w:tcBorders>
              <w:top w:val="nil"/>
              <w:left w:val="nil"/>
              <w:bottom w:val="nil"/>
              <w:right w:val="nil"/>
            </w:tcBorders>
            <w:shd w:val="clear" w:color="auto" w:fill="auto"/>
            <w:vAlign w:val="bottom"/>
          </w:tcPr>
          <w:p w14:paraId="01F5199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-0.3815</w:t>
            </w:r>
          </w:p>
        </w:tc>
        <w:tc>
          <w:tcPr>
            <w:tcW w:w="954" w:type="dxa"/>
            <w:tcBorders>
              <w:top w:val="nil"/>
              <w:left w:val="nil"/>
              <w:bottom w:val="nil"/>
              <w:right w:val="nil"/>
            </w:tcBorders>
            <w:shd w:val="clear" w:color="auto" w:fill="auto"/>
            <w:vAlign w:val="bottom"/>
          </w:tcPr>
          <w:p w14:paraId="32E4694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0.0943</w:t>
            </w:r>
          </w:p>
        </w:tc>
      </w:tr>
      <w:tr w:rsidR="00FF02AC" w14:paraId="01D71294" w14:textId="77777777" w:rsidTr="00FE2BF4">
        <w:trPr>
          <w:trHeight w:val="244"/>
        </w:trPr>
        <w:tc>
          <w:tcPr>
            <w:tcW w:w="3108" w:type="dxa"/>
            <w:tcBorders>
              <w:top w:val="nil"/>
              <w:left w:val="nil"/>
              <w:bottom w:val="single" w:sz="4" w:space="0" w:color="000000"/>
              <w:right w:val="nil"/>
            </w:tcBorders>
            <w:shd w:val="clear" w:color="auto" w:fill="auto"/>
            <w:vAlign w:val="bottom"/>
          </w:tcPr>
          <w:p w14:paraId="6A26131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Exchange rate (LCU per US$, period average)</w:t>
            </w:r>
          </w:p>
        </w:tc>
        <w:tc>
          <w:tcPr>
            <w:tcW w:w="1110" w:type="dxa"/>
            <w:tcBorders>
              <w:top w:val="nil"/>
              <w:left w:val="nil"/>
              <w:bottom w:val="single" w:sz="4" w:space="0" w:color="000000"/>
              <w:right w:val="nil"/>
            </w:tcBorders>
            <w:shd w:val="clear" w:color="auto" w:fill="auto"/>
            <w:vAlign w:val="bottom"/>
          </w:tcPr>
          <w:p w14:paraId="51B85F35"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-0.0102</w:t>
            </w:r>
          </w:p>
        </w:tc>
        <w:tc>
          <w:tcPr>
            <w:tcW w:w="1113" w:type="dxa"/>
            <w:tcBorders>
              <w:top w:val="nil"/>
              <w:left w:val="nil"/>
              <w:bottom w:val="single" w:sz="4" w:space="0" w:color="000000"/>
              <w:right w:val="nil"/>
            </w:tcBorders>
            <w:shd w:val="clear" w:color="auto" w:fill="auto"/>
            <w:vAlign w:val="bottom"/>
          </w:tcPr>
          <w:p w14:paraId="2929510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0.0029</w:t>
            </w:r>
          </w:p>
        </w:tc>
        <w:tc>
          <w:tcPr>
            <w:tcW w:w="932" w:type="dxa"/>
            <w:tcBorders>
              <w:top w:val="nil"/>
              <w:left w:val="nil"/>
              <w:bottom w:val="single" w:sz="4" w:space="0" w:color="000000"/>
              <w:right w:val="nil"/>
            </w:tcBorders>
            <w:shd w:val="clear" w:color="auto" w:fill="auto"/>
            <w:vAlign w:val="bottom"/>
          </w:tcPr>
          <w:p w14:paraId="3115DB59"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-3.5000</w:t>
            </w:r>
          </w:p>
        </w:tc>
        <w:tc>
          <w:tcPr>
            <w:tcW w:w="1030" w:type="dxa"/>
            <w:tcBorders>
              <w:top w:val="nil"/>
              <w:left w:val="nil"/>
              <w:bottom w:val="single" w:sz="4" w:space="0" w:color="000000"/>
              <w:right w:val="nil"/>
            </w:tcBorders>
            <w:shd w:val="clear" w:color="auto" w:fill="auto"/>
            <w:vAlign w:val="bottom"/>
          </w:tcPr>
          <w:p w14:paraId="2E8CB77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0.0619</w:t>
            </w:r>
          </w:p>
        </w:tc>
        <w:tc>
          <w:tcPr>
            <w:tcW w:w="1129" w:type="dxa"/>
            <w:tcBorders>
              <w:top w:val="nil"/>
              <w:left w:val="nil"/>
              <w:bottom w:val="single" w:sz="4" w:space="0" w:color="000000"/>
              <w:right w:val="nil"/>
            </w:tcBorders>
            <w:shd w:val="clear" w:color="auto" w:fill="auto"/>
            <w:vAlign w:val="bottom"/>
          </w:tcPr>
          <w:p w14:paraId="6766B9F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-0.0513</w:t>
            </w:r>
          </w:p>
        </w:tc>
        <w:tc>
          <w:tcPr>
            <w:tcW w:w="954" w:type="dxa"/>
            <w:tcBorders>
              <w:top w:val="nil"/>
              <w:left w:val="nil"/>
              <w:bottom w:val="single" w:sz="4" w:space="0" w:color="000000"/>
              <w:right w:val="nil"/>
            </w:tcBorders>
            <w:shd w:val="clear" w:color="auto" w:fill="auto"/>
            <w:vAlign w:val="bottom"/>
          </w:tcPr>
          <w:p w14:paraId="6AF987A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0.0308</w:t>
            </w:r>
          </w:p>
        </w:tc>
      </w:tr>
    </w:tbl>
    <w:p w14:paraId="32F06EB0" w14:textId="77777777" w:rsidR="00FF02AC" w:rsidRDefault="00FF02AC">
      <w:pPr>
        <w:spacing w:line="480" w:lineRule="auto"/>
        <w:jc w:val="both"/>
      </w:pPr>
    </w:p>
    <w:p w14:paraId="4CD33540" w14:textId="5EED12D7" w:rsidR="00FF02AC" w:rsidRDefault="00207BA9">
      <w:pPr>
        <w:spacing w:line="480" w:lineRule="auto"/>
        <w:ind w:firstLine="720"/>
        <w:jc w:val="both"/>
      </w:pPr>
      <w:r>
        <w:t>The real interest rate coefficient is -0.1436; this implies that</w:t>
      </w:r>
      <w:r w:rsidR="00C73F1A">
        <w:t xml:space="preserve"> </w:t>
      </w:r>
      <w:r>
        <w:t xml:space="preserve">when the real interest rate increases by 1 unit, the economic growth rate will decrease by -0.1436 percentage points holding other factors constant. Since the P-value is less than 0.05, we reject the null hypothesis at </w:t>
      </w:r>
      <w:r w:rsidR="00C73F1A">
        <w:t xml:space="preserve">a </w:t>
      </w:r>
      <w:r>
        <w:t xml:space="preserve">5% </w:t>
      </w:r>
      <w:r>
        <w:lastRenderedPageBreak/>
        <w:t>significance level and conclude that the real interest rate has a negative and statistically significant effect on economic growth.</w:t>
      </w:r>
    </w:p>
    <w:p w14:paraId="5DAEA487" w14:textId="5B6C50C6" w:rsidR="00FF02AC" w:rsidRDefault="00207BA9">
      <w:pPr>
        <w:spacing w:line="480" w:lineRule="auto"/>
        <w:ind w:firstLine="720"/>
        <w:jc w:val="both"/>
      </w:pPr>
      <w:r>
        <w:t xml:space="preserve">The exchange rate </w:t>
      </w:r>
      <w:r w:rsidR="00C73F1A">
        <w:t xml:space="preserve">coefficient </w:t>
      </w:r>
      <w:r>
        <w:t xml:space="preserve">is estimated at -0.0102; this implies that when </w:t>
      </w:r>
      <w:r w:rsidR="00C73F1A">
        <w:t xml:space="preserve">the </w:t>
      </w:r>
      <w:r>
        <w:t>exchange rate increases by 1 unit, the economic growth rate will decline by 0.0102 percentage points holding other factors constant. The p-value of the coefficient is greater (less) than 0.05 (0.1). Therefore, we accept (reject) the null hypothesis at 5% (10%) significance and conclude that the variable is not statistically significant and does not affect economic growth.</w:t>
      </w:r>
    </w:p>
    <w:p w14:paraId="0FEAA570" w14:textId="77777777" w:rsidR="00FF02AC" w:rsidRDefault="00207BA9">
      <w:pPr>
        <w:spacing w:line="480" w:lineRule="auto"/>
        <w:ind w:firstLine="720"/>
        <w:jc w:val="both"/>
      </w:pPr>
      <w:r>
        <w:t>Therefore, the F-statistic P-value is less than 0.05, rejecting the null hypothesis at 5% significance, and concludes that the overall model is statistically significant and, therefore, a valid model. Finally, the R-Squared is estimated at 0.0489; this implies that 4.89% of all economic growth fluctuations are explained by the interest rate and the exchange rate.</w:t>
      </w:r>
    </w:p>
    <w:p w14:paraId="37D97DB9" w14:textId="77777777" w:rsidR="00FF02AC" w:rsidRDefault="00207BA9">
      <w:pPr>
        <w:pStyle w:val="Heading1"/>
      </w:pPr>
      <w:bookmarkStart w:id="4" w:name="_heading=h.2et92p0" w:colFirst="0" w:colLast="0"/>
      <w:bookmarkEnd w:id="4"/>
      <w:r>
        <w:t>Conclusion</w:t>
      </w:r>
    </w:p>
    <w:p w14:paraId="2DB8F95A" w14:textId="2A4A0ED4" w:rsidR="00FF02AC" w:rsidRDefault="00207BA9">
      <w:pPr>
        <w:spacing w:line="480" w:lineRule="auto"/>
        <w:jc w:val="both"/>
      </w:pPr>
      <w:r>
        <w:tab/>
        <w:t>The research aimed to investigate the effect of interest rate and exchange rate on economic growth in Canada. However, from theory, the interest rate has a negative effect on economic growth since a high-interest rate decreased private investment in the country. On the other hand, the exchange rate and economic growth are negatively related to the existing theory. However, to investigate the variables</w:t>
      </w:r>
      <w:r w:rsidR="0075396B">
        <w:t>’ effect</w:t>
      </w:r>
      <w:r>
        <w:t xml:space="preserve">, the study collected data from the World Bank database. The data were modeled using a multiple regression model. From the above analysis, we can make the following conclusions; interest rate is an economic channel used to stimulate economic growth. This conforms to the theory that, when the interest rate is decreased, private investors will be encouraged to invest in increasing Canada's national income. </w:t>
      </w:r>
      <w:r w:rsidR="00FE2BF4">
        <w:t>Therefore,</w:t>
      </w:r>
      <w:r>
        <w:t xml:space="preserve"> the policymakers can put in place policies that target the interest rates to stimulate economic growth. Secondly, even though </w:t>
      </w:r>
      <w:r>
        <w:lastRenderedPageBreak/>
        <w:t>the exchange rate is not statistically significant at a 5% significance level, it conforms to existing theory. The policymakers can also target the exchange rate to induce economic growth.</w:t>
      </w:r>
    </w:p>
    <w:p w14:paraId="081A5319" w14:textId="74F28EFD" w:rsidR="00FE2BF4" w:rsidRDefault="00FE2BF4">
      <w:pPr>
        <w:spacing w:line="480" w:lineRule="auto"/>
        <w:jc w:val="both"/>
      </w:pPr>
    </w:p>
    <w:p w14:paraId="186486DC" w14:textId="63965EA4" w:rsidR="00FE2BF4" w:rsidRDefault="00FE2BF4">
      <w:pPr>
        <w:spacing w:line="480" w:lineRule="auto"/>
        <w:jc w:val="both"/>
      </w:pPr>
    </w:p>
    <w:p w14:paraId="1AB9A6AD" w14:textId="5F3C004E" w:rsidR="00FE2BF4" w:rsidRDefault="00FE2BF4">
      <w:pPr>
        <w:spacing w:line="480" w:lineRule="auto"/>
        <w:jc w:val="both"/>
      </w:pPr>
    </w:p>
    <w:p w14:paraId="1BE498CA" w14:textId="2BC638CD" w:rsidR="00FE2BF4" w:rsidRDefault="00FE2BF4">
      <w:pPr>
        <w:spacing w:line="480" w:lineRule="auto"/>
        <w:jc w:val="both"/>
      </w:pPr>
    </w:p>
    <w:p w14:paraId="6E7DEBE2" w14:textId="6FCF2E04" w:rsidR="00FE2BF4" w:rsidRDefault="00FE2BF4">
      <w:pPr>
        <w:spacing w:line="480" w:lineRule="auto"/>
        <w:jc w:val="both"/>
      </w:pPr>
    </w:p>
    <w:p w14:paraId="7A254576" w14:textId="02E6C35F" w:rsidR="00FE2BF4" w:rsidRDefault="00FE2BF4">
      <w:pPr>
        <w:spacing w:line="480" w:lineRule="auto"/>
        <w:jc w:val="both"/>
      </w:pPr>
    </w:p>
    <w:p w14:paraId="69E1BE98" w14:textId="1459B812" w:rsidR="00FE2BF4" w:rsidRDefault="00FE2BF4">
      <w:pPr>
        <w:spacing w:line="480" w:lineRule="auto"/>
        <w:jc w:val="both"/>
      </w:pPr>
    </w:p>
    <w:p w14:paraId="50F755C4" w14:textId="3BA22821" w:rsidR="00FE2BF4" w:rsidRDefault="00FE2BF4">
      <w:pPr>
        <w:spacing w:line="480" w:lineRule="auto"/>
        <w:jc w:val="both"/>
      </w:pPr>
    </w:p>
    <w:p w14:paraId="56EA515B" w14:textId="763FE1F4" w:rsidR="00FE2BF4" w:rsidRDefault="00FE2BF4">
      <w:pPr>
        <w:spacing w:line="480" w:lineRule="auto"/>
        <w:jc w:val="both"/>
      </w:pPr>
    </w:p>
    <w:p w14:paraId="0BCC3BF0" w14:textId="3524280D" w:rsidR="00FE2BF4" w:rsidRDefault="00FE2BF4">
      <w:pPr>
        <w:spacing w:line="480" w:lineRule="auto"/>
        <w:jc w:val="both"/>
      </w:pPr>
    </w:p>
    <w:p w14:paraId="47214799" w14:textId="62C4A05B" w:rsidR="00FE2BF4" w:rsidRDefault="00FE2BF4">
      <w:pPr>
        <w:spacing w:line="480" w:lineRule="auto"/>
        <w:jc w:val="both"/>
      </w:pPr>
    </w:p>
    <w:p w14:paraId="2C48B2DA" w14:textId="7C022F55" w:rsidR="00FE2BF4" w:rsidRDefault="00FE2BF4">
      <w:pPr>
        <w:spacing w:line="480" w:lineRule="auto"/>
        <w:jc w:val="both"/>
      </w:pPr>
    </w:p>
    <w:p w14:paraId="7ADEBD6C" w14:textId="4E15C7A7" w:rsidR="00FE2BF4" w:rsidRDefault="00FE2BF4">
      <w:pPr>
        <w:spacing w:line="480" w:lineRule="auto"/>
        <w:jc w:val="both"/>
      </w:pPr>
    </w:p>
    <w:p w14:paraId="34992F67" w14:textId="73BC652C" w:rsidR="00FE2BF4" w:rsidRDefault="00FE2BF4">
      <w:pPr>
        <w:spacing w:line="480" w:lineRule="auto"/>
        <w:jc w:val="both"/>
      </w:pPr>
    </w:p>
    <w:p w14:paraId="1D823243" w14:textId="26CEEFC3" w:rsidR="00FE2BF4" w:rsidRDefault="00FE2BF4">
      <w:pPr>
        <w:spacing w:line="480" w:lineRule="auto"/>
        <w:jc w:val="both"/>
      </w:pPr>
    </w:p>
    <w:p w14:paraId="6BD0C0E3" w14:textId="77777777" w:rsidR="00FE2BF4" w:rsidRDefault="00FE2BF4">
      <w:pPr>
        <w:spacing w:line="480" w:lineRule="auto"/>
        <w:jc w:val="both"/>
      </w:pPr>
    </w:p>
    <w:p w14:paraId="2C42AEB0" w14:textId="77777777" w:rsidR="00FF02AC" w:rsidRDefault="00207BA9">
      <w:pPr>
        <w:pStyle w:val="Heading1"/>
      </w:pPr>
      <w:bookmarkStart w:id="5" w:name="_heading=h.tyjcwt" w:colFirst="0" w:colLast="0"/>
      <w:bookmarkEnd w:id="5"/>
      <w:r>
        <w:lastRenderedPageBreak/>
        <w:t xml:space="preserve">References </w:t>
      </w:r>
    </w:p>
    <w:p w14:paraId="15346A3C" w14:textId="77777777" w:rsidR="00FF02AC" w:rsidRDefault="00207BA9">
      <w:pPr>
        <w:ind w:left="720" w:hanging="720"/>
      </w:pPr>
      <w:r>
        <w:t>Acemoglu, D. (2012). Introduction to economic growth. </w:t>
      </w:r>
      <w:r>
        <w:rPr>
          <w:i/>
        </w:rPr>
        <w:t>Journal of economic theory</w:t>
      </w:r>
      <w:r>
        <w:t>, </w:t>
      </w:r>
      <w:r>
        <w:rPr>
          <w:i/>
        </w:rPr>
        <w:t>147</w:t>
      </w:r>
      <w:r>
        <w:t>(2), 545-550.</w:t>
      </w:r>
    </w:p>
    <w:p w14:paraId="16DC408A" w14:textId="77777777" w:rsidR="00FF02AC" w:rsidRDefault="00207BA9">
      <w:pPr>
        <w:ind w:left="720" w:hanging="720"/>
      </w:pPr>
      <w:proofErr w:type="spellStart"/>
      <w:r>
        <w:t>Maiga</w:t>
      </w:r>
      <w:proofErr w:type="spellEnd"/>
      <w:r>
        <w:t>, F. K. (2017). Impact of interest rate on economic growth in Nigeria. </w:t>
      </w:r>
      <w:r>
        <w:rPr>
          <w:i/>
        </w:rPr>
        <w:t>Pyrex journal of business and finance management research</w:t>
      </w:r>
      <w:r>
        <w:t>, </w:t>
      </w:r>
      <w:r>
        <w:rPr>
          <w:i/>
        </w:rPr>
        <w:t>3</w:t>
      </w:r>
      <w:r>
        <w:t>(3), 98-111.</w:t>
      </w:r>
    </w:p>
    <w:p w14:paraId="1AA49F37" w14:textId="77777777" w:rsidR="00FF02AC" w:rsidRDefault="00207BA9">
      <w:pPr>
        <w:ind w:left="720" w:hanging="720"/>
      </w:pPr>
      <w:proofErr w:type="spellStart"/>
      <w:r>
        <w:t>Obansa</w:t>
      </w:r>
      <w:proofErr w:type="spellEnd"/>
      <w:r>
        <w:t xml:space="preserve">, S. A. J., </w:t>
      </w:r>
      <w:proofErr w:type="spellStart"/>
      <w:r>
        <w:t>Okoroafor</w:t>
      </w:r>
      <w:proofErr w:type="spellEnd"/>
      <w:r>
        <w:t>, O. K. D., Aluko, O. O., &amp; Eze, M. (2013). Perceived relationship between exchange rate, interest rate and economic growth in Nigeria: 1970-2010. American journal of humanities and social sciences, 1(3), 116-124.</w:t>
      </w:r>
    </w:p>
    <w:p w14:paraId="387CB37C" w14:textId="77777777" w:rsidR="00FF02AC" w:rsidRDefault="00FF02AC">
      <w:bookmarkStart w:id="6" w:name="_heading=h.3dy6vkm" w:colFirst="0" w:colLast="0"/>
      <w:bookmarkEnd w:id="6"/>
    </w:p>
    <w:p w14:paraId="22FE5FDC" w14:textId="77777777" w:rsidR="00FF02AC" w:rsidRDefault="00FF02AC"/>
    <w:p w14:paraId="13B03D29" w14:textId="77777777" w:rsidR="00FF02AC" w:rsidRDefault="00FF02AC"/>
    <w:p w14:paraId="6B27173F" w14:textId="77777777" w:rsidR="00FF02AC" w:rsidRDefault="00FF02AC"/>
    <w:p w14:paraId="55B3C56B" w14:textId="77777777" w:rsidR="00FF02AC" w:rsidRDefault="00FF02AC"/>
    <w:p w14:paraId="6CA98BAF" w14:textId="77777777" w:rsidR="00FF02AC" w:rsidRDefault="00FF02AC"/>
    <w:p w14:paraId="3F60B568" w14:textId="77777777" w:rsidR="00FF02AC" w:rsidRDefault="00FF02AC"/>
    <w:p w14:paraId="7C1C21EE" w14:textId="77777777" w:rsidR="00FF02AC" w:rsidRDefault="00FF02AC"/>
    <w:p w14:paraId="5E4EAEC8" w14:textId="77777777" w:rsidR="00FF02AC" w:rsidRDefault="00FF02AC"/>
    <w:p w14:paraId="0B940A4C" w14:textId="77777777" w:rsidR="00FF02AC" w:rsidRDefault="00FF02AC"/>
    <w:p w14:paraId="495BBEB4" w14:textId="77777777" w:rsidR="00FF02AC" w:rsidRDefault="00FF02AC"/>
    <w:p w14:paraId="5FAFE8F7" w14:textId="77777777" w:rsidR="00FF02AC" w:rsidRDefault="00FF02AC">
      <w:pPr>
        <w:pStyle w:val="Heading1"/>
      </w:pPr>
    </w:p>
    <w:p w14:paraId="7A8922F2" w14:textId="77777777" w:rsidR="00FF02AC" w:rsidRDefault="00FF02AC"/>
    <w:p w14:paraId="7A0E883C" w14:textId="77777777" w:rsidR="00FF02AC" w:rsidRDefault="00FF02AC"/>
    <w:p w14:paraId="1A8D5C69" w14:textId="77777777" w:rsidR="00FF02AC" w:rsidRDefault="00FF02AC"/>
    <w:p w14:paraId="3C1EF04D" w14:textId="77777777" w:rsidR="00FF02AC" w:rsidRDefault="00FF02AC"/>
    <w:p w14:paraId="09F590BE" w14:textId="77777777" w:rsidR="00FF02AC" w:rsidRDefault="00FF02AC"/>
    <w:p w14:paraId="2CBE898A" w14:textId="77777777" w:rsidR="00FF02AC" w:rsidRDefault="00FF02AC"/>
    <w:p w14:paraId="24AF35AC" w14:textId="77777777" w:rsidR="00FF02AC" w:rsidRDefault="00FF02AC"/>
    <w:p w14:paraId="70AAC659" w14:textId="77777777" w:rsidR="00FF02AC" w:rsidRDefault="00FF02AC"/>
    <w:p w14:paraId="62882D61" w14:textId="77777777" w:rsidR="00FF02AC" w:rsidRDefault="00207BA9">
      <w:pPr>
        <w:pStyle w:val="Heading1"/>
      </w:pPr>
      <w:r>
        <w:lastRenderedPageBreak/>
        <w:t xml:space="preserve">Dataset </w:t>
      </w:r>
    </w:p>
    <w:p w14:paraId="1D41D58E" w14:textId="77777777" w:rsidR="00FF02AC" w:rsidRDefault="00207BA9">
      <w:r>
        <w:rPr>
          <w:noProof/>
        </w:rPr>
        <w:drawing>
          <wp:inline distT="0" distB="0" distL="0" distR="0" wp14:anchorId="70FF7543" wp14:editId="13428567">
            <wp:extent cx="5943600" cy="6111469"/>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943600" cy="6111469"/>
                    </a:xfrm>
                    <a:prstGeom prst="rect">
                      <a:avLst/>
                    </a:prstGeom>
                    <a:ln/>
                  </pic:spPr>
                </pic:pic>
              </a:graphicData>
            </a:graphic>
          </wp:inline>
        </w:drawing>
      </w:r>
    </w:p>
    <w:sectPr w:rsidR="00FF02A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2AC"/>
    <w:rsid w:val="00207BA9"/>
    <w:rsid w:val="0075396B"/>
    <w:rsid w:val="00930184"/>
    <w:rsid w:val="00C73F1A"/>
    <w:rsid w:val="00D438EC"/>
    <w:rsid w:val="00E83724"/>
    <w:rsid w:val="00FE2BF4"/>
    <w:rsid w:val="00FF0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3BB8"/>
  <w15:docId w15:val="{7F5BC2A1-766C-47B4-A476-6930DF18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31A"/>
    <w:rPr>
      <w:rFonts w:eastAsiaTheme="minorEastAsia"/>
    </w:rPr>
  </w:style>
  <w:style w:type="paragraph" w:styleId="Heading1">
    <w:name w:val="heading 1"/>
    <w:basedOn w:val="Normal"/>
    <w:next w:val="Normal"/>
    <w:link w:val="Heading1Char"/>
    <w:uiPriority w:val="9"/>
    <w:qFormat/>
    <w:rsid w:val="005E46D9"/>
    <w:pPr>
      <w:keepNext/>
      <w:keepLines/>
      <w:spacing w:after="240" w:line="480" w:lineRule="auto"/>
      <w:jc w:val="center"/>
      <w:outlineLvl w:val="0"/>
    </w:pPr>
    <w:rPr>
      <w:rFonts w:eastAsiaTheme="majorEastAsia"/>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E46D9"/>
    <w:rPr>
      <w:rFonts w:ascii="Times New Roman" w:eastAsiaTheme="majorEastAsia" w:hAnsi="Times New Roman"/>
      <w:b/>
      <w:bCs/>
      <w:sz w:val="24"/>
    </w:rPr>
  </w:style>
  <w:style w:type="character" w:styleId="PlaceholderText">
    <w:name w:val="Placeholder Text"/>
    <w:basedOn w:val="DefaultParagraphFont"/>
    <w:uiPriority w:val="99"/>
    <w:semiHidden/>
    <w:rsid w:val="00254204"/>
    <w:rPr>
      <w:color w:val="808080"/>
    </w:rPr>
  </w:style>
  <w:style w:type="paragraph" w:styleId="TOCHeading">
    <w:name w:val="TOC Heading"/>
    <w:basedOn w:val="Heading1"/>
    <w:next w:val="Normal"/>
    <w:uiPriority w:val="39"/>
    <w:unhideWhenUsed/>
    <w:qFormat/>
    <w:rsid w:val="00E07DFB"/>
    <w:pPr>
      <w:spacing w:before="240" w:line="259" w:lineRule="auto"/>
      <w:jc w:val="left"/>
      <w:outlineLvl w:val="9"/>
    </w:pPr>
    <w:rPr>
      <w:rFonts w:asciiTheme="majorHAnsi"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E07DFB"/>
    <w:pPr>
      <w:spacing w:after="100"/>
    </w:pPr>
  </w:style>
  <w:style w:type="character" w:styleId="Hyperlink">
    <w:name w:val="Hyperlink"/>
    <w:basedOn w:val="DefaultParagraphFont"/>
    <w:uiPriority w:val="99"/>
    <w:unhideWhenUsed/>
    <w:rsid w:val="00E07DFB"/>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Sheet1!$D$1</c:f>
              <c:strCache>
                <c:ptCount val="1"/>
                <c:pt idx="0">
                  <c:v>Exchange rate (LCU per US$, period average)</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val>
          <c:smooth val="0"/>
          <c:extLst>
            <c:ext xmlns:c16="http://schemas.microsoft.com/office/drawing/2014/chart" uri="{C3380CC4-5D6E-409C-BE32-E72D297353CC}">
              <c16:uniqueId val="{00000000-8CD5-43BC-89FC-26CB1456CFF4}"/>
            </c:ext>
          </c:extLst>
        </c:ser>
        <c:dLbls>
          <c:showLegendKey val="0"/>
          <c:showVal val="0"/>
          <c:showCatName val="0"/>
          <c:showSerName val="0"/>
          <c:showPercent val="0"/>
          <c:showBubbleSize val="0"/>
        </c:dLbls>
        <c:smooth val="0"/>
        <c:axId val="423434080"/>
        <c:axId val="423434496"/>
      </c:lineChart>
      <c:catAx>
        <c:axId val="423434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434496"/>
        <c:crosses val="autoZero"/>
        <c:auto val="1"/>
        <c:lblAlgn val="ctr"/>
        <c:lblOffset val="100"/>
        <c:noMultiLvlLbl val="0"/>
      </c:catAx>
      <c:valAx>
        <c:axId val="423434496"/>
        <c:scaling>
          <c:orientation val="minMax"/>
          <c:max val="1.6"/>
          <c:min val="0.9"/>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43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Real interest rate </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Sheet1!$C$1</c:f>
              <c:strCache>
                <c:ptCount val="1"/>
                <c:pt idx="0">
                  <c:v>Real interest rate (%)</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val>
          <c:smooth val="0"/>
          <c:extLst>
            <c:ext xmlns:c16="http://schemas.microsoft.com/office/drawing/2014/chart" uri="{C3380CC4-5D6E-409C-BE32-E72D297353CC}">
              <c16:uniqueId val="{00000000-2DB7-4D70-9A48-F68218C377E8}"/>
            </c:ext>
          </c:extLst>
        </c:ser>
        <c:dLbls>
          <c:showLegendKey val="0"/>
          <c:showVal val="0"/>
          <c:showCatName val="0"/>
          <c:showSerName val="0"/>
          <c:showPercent val="0"/>
          <c:showBubbleSize val="0"/>
        </c:dLbls>
        <c:smooth val="0"/>
        <c:axId val="33282224"/>
        <c:axId val="33282640"/>
      </c:lineChart>
      <c:catAx>
        <c:axId val="3328222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3282640"/>
        <c:crosses val="autoZero"/>
        <c:auto val="1"/>
        <c:lblAlgn val="ctr"/>
        <c:lblOffset val="100"/>
        <c:noMultiLvlLbl val="0"/>
      </c:catAx>
      <c:valAx>
        <c:axId val="3328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328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Annual GDP growth </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Sheet1!$B$1</c:f>
              <c:strCache>
                <c:ptCount val="1"/>
                <c:pt idx="0">
                  <c:v>GDP growth (annual %)</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val>
          <c:smooth val="0"/>
          <c:extLst>
            <c:ext xmlns:c16="http://schemas.microsoft.com/office/drawing/2014/chart" uri="{C3380CC4-5D6E-409C-BE32-E72D297353CC}">
              <c16:uniqueId val="{00000000-C201-40AC-8E68-355200B45902}"/>
            </c:ext>
          </c:extLst>
        </c:ser>
        <c:dLbls>
          <c:showLegendKey val="0"/>
          <c:showVal val="0"/>
          <c:showCatName val="0"/>
          <c:showSerName val="0"/>
          <c:showPercent val="0"/>
          <c:showBubbleSize val="0"/>
        </c:dLbls>
        <c:smooth val="0"/>
        <c:axId val="279418016"/>
        <c:axId val="279423008"/>
      </c:lineChart>
      <c:catAx>
        <c:axId val="279418016"/>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9423008"/>
        <c:crosses val="autoZero"/>
        <c:auto val="1"/>
        <c:lblAlgn val="ctr"/>
        <c:lblOffset val="100"/>
        <c:noMultiLvlLbl val="0"/>
      </c:catAx>
      <c:valAx>
        <c:axId val="2794230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9418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GDP growth (annual %)</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val>
          <c:smooth val="0"/>
          <c:extLst>
            <c:ext xmlns:c16="http://schemas.microsoft.com/office/drawing/2014/chart" uri="{C3380CC4-5D6E-409C-BE32-E72D297353CC}">
              <c16:uniqueId val="{00000000-5FFF-41B7-853C-11DA6AACD39F}"/>
            </c:ext>
          </c:extLst>
        </c:ser>
        <c:ser>
          <c:idx val="1"/>
          <c:order val="1"/>
          <c:tx>
            <c:strRef>
              <c:f>Sheet1!$C$1</c:f>
              <c:strCache>
                <c:ptCount val="1"/>
                <c:pt idx="0">
                  <c:v>Real interest rate (%)</c:v>
                </c:pt>
              </c:strCache>
            </c:strRef>
          </c:tx>
          <c:spPr>
            <a:ln w="28575" cap="rnd">
              <a:solidFill>
                <a:schemeClr val="accent2"/>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val>
          <c:smooth val="0"/>
          <c:extLst>
            <c:ext xmlns:c16="http://schemas.microsoft.com/office/drawing/2014/chart" uri="{C3380CC4-5D6E-409C-BE32-E72D297353CC}">
              <c16:uniqueId val="{00000001-5FFF-41B7-853C-11DA6AACD39F}"/>
            </c:ext>
          </c:extLst>
        </c:ser>
        <c:dLbls>
          <c:showLegendKey val="0"/>
          <c:showVal val="0"/>
          <c:showCatName val="0"/>
          <c:showSerName val="0"/>
          <c:showPercent val="0"/>
          <c:showBubbleSize val="0"/>
        </c:dLbls>
        <c:marker val="1"/>
        <c:smooth val="0"/>
        <c:axId val="276525168"/>
        <c:axId val="276528080"/>
      </c:lineChart>
      <c:lineChart>
        <c:grouping val="standard"/>
        <c:varyColors val="0"/>
        <c:ser>
          <c:idx val="2"/>
          <c:order val="2"/>
          <c:tx>
            <c:strRef>
              <c:f>Sheet1!$D$1</c:f>
              <c:strCache>
                <c:ptCount val="1"/>
                <c:pt idx="0">
                  <c:v>Exchange rate (LCU per US$, period average)</c:v>
                </c:pt>
              </c:strCache>
            </c:strRef>
          </c:tx>
          <c:spPr>
            <a:ln w="28575" cap="rnd">
              <a:solidFill>
                <a:schemeClr val="accent3"/>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val>
          <c:smooth val="0"/>
          <c:extLst>
            <c:ext xmlns:c16="http://schemas.microsoft.com/office/drawing/2014/chart" uri="{C3380CC4-5D6E-409C-BE32-E72D297353CC}">
              <c16:uniqueId val="{00000002-5FFF-41B7-853C-11DA6AACD39F}"/>
            </c:ext>
          </c:extLst>
        </c:ser>
        <c:dLbls>
          <c:showLegendKey val="0"/>
          <c:showVal val="0"/>
          <c:showCatName val="0"/>
          <c:showSerName val="0"/>
          <c:showPercent val="0"/>
          <c:showBubbleSize val="0"/>
        </c:dLbls>
        <c:marker val="1"/>
        <c:smooth val="0"/>
        <c:axId val="429295072"/>
        <c:axId val="429293408"/>
      </c:lineChart>
      <c:catAx>
        <c:axId val="276525168"/>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6528080"/>
        <c:crosses val="autoZero"/>
        <c:auto val="1"/>
        <c:lblAlgn val="ctr"/>
        <c:lblOffset val="100"/>
        <c:noMultiLvlLbl val="0"/>
      </c:catAx>
      <c:valAx>
        <c:axId val="27652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6525168"/>
        <c:crosses val="autoZero"/>
        <c:crossBetween val="between"/>
      </c:valAx>
      <c:valAx>
        <c:axId val="429293408"/>
        <c:scaling>
          <c:orientation val="minMax"/>
        </c:scaling>
        <c:delete val="0"/>
        <c:axPos val="r"/>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9295072"/>
        <c:crosses val="max"/>
        <c:crossBetween val="between"/>
      </c:valAx>
      <c:catAx>
        <c:axId val="429295072"/>
        <c:scaling>
          <c:orientation val="minMax"/>
        </c:scaling>
        <c:delete val="1"/>
        <c:axPos val="b"/>
        <c:numFmt formatCode="General" sourceLinked="1"/>
        <c:majorTickMark val="out"/>
        <c:minorTickMark val="none"/>
        <c:tickLblPos val="nextTo"/>
        <c:crossAx val="4292934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Sheet1!$C$1</c:f>
              <c:strCache>
                <c:ptCount val="1"/>
                <c:pt idx="0">
                  <c:v>Real interest rate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xVal>
          <c:y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yVal>
          <c:smooth val="0"/>
          <c:extLst>
            <c:ext xmlns:c16="http://schemas.microsoft.com/office/drawing/2014/chart" uri="{C3380CC4-5D6E-409C-BE32-E72D297353CC}">
              <c16:uniqueId val="{00000000-9C12-4197-AB91-77176F85305F}"/>
            </c:ext>
          </c:extLst>
        </c:ser>
        <c:dLbls>
          <c:showLegendKey val="0"/>
          <c:showVal val="0"/>
          <c:showCatName val="0"/>
          <c:showSerName val="0"/>
          <c:showPercent val="0"/>
          <c:showBubbleSize val="0"/>
        </c:dLbls>
        <c:axId val="290599280"/>
        <c:axId val="290600944"/>
      </c:scatterChart>
      <c:valAx>
        <c:axId val="290599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600944"/>
        <c:crosses val="autoZero"/>
        <c:crossBetween val="midCat"/>
      </c:valAx>
      <c:valAx>
        <c:axId val="29060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599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Sheet1!$D$1</c:f>
              <c:strCache>
                <c:ptCount val="1"/>
                <c:pt idx="0">
                  <c:v>Exchange rate (LCU per US$, period average)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xVal>
          <c:y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yVal>
          <c:smooth val="0"/>
          <c:extLst>
            <c:ext xmlns:c16="http://schemas.microsoft.com/office/drawing/2014/chart" uri="{C3380CC4-5D6E-409C-BE32-E72D297353CC}">
              <c16:uniqueId val="{00000000-03FA-43CE-8917-6AECF6269792}"/>
            </c:ext>
          </c:extLst>
        </c:ser>
        <c:dLbls>
          <c:showLegendKey val="0"/>
          <c:showVal val="0"/>
          <c:showCatName val="0"/>
          <c:showSerName val="0"/>
          <c:showPercent val="0"/>
          <c:showBubbleSize val="0"/>
        </c:dLbls>
        <c:axId val="290605520"/>
        <c:axId val="290595120"/>
      </c:scatterChart>
      <c:valAx>
        <c:axId val="290605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595120"/>
        <c:crosses val="autoZero"/>
        <c:crossBetween val="midCat"/>
      </c:valAx>
      <c:valAx>
        <c:axId val="290595120"/>
        <c:scaling>
          <c:orientation val="minMax"/>
          <c:min val="0.9"/>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6055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CYx3/miTfGfmrEldxasP03i0/2g==">AMUW2mWrzZRDIhv/+TGwMpMOuEWwcGh9nAqVac8DfwpmcvTsOC2lCEcvZS/KBGq/RMmNQzE2D/jIy+kA72dMmswe9JVRnyDW574/w/or0auw4CC3p7bSxGnrL7VNOE2Iv3MXY5INFXlbTdMS834decoqU3LFLclVqxPETG7x/2JAjAC6TBg5mzoWBZT4LHtDoIkVHYKplkCl2KFnIRoqJeYBvAiRJzPTZA==</go:docsCustomData>
</go:gDocsCustomXmlDataStorage>
</file>

<file path=customXml/itemProps1.xml><?xml version="1.0" encoding="utf-8"?>
<ds:datastoreItem xmlns:ds="http://schemas.openxmlformats.org/officeDocument/2006/customXml" ds:itemID="{49A277B4-BA08-4BF4-A9C0-5E268815793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2171</Words>
  <Characters>12379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2020-11-20T13:06:00Z</dcterms:created>
  <dcterms:modified xsi:type="dcterms:W3CDTF">2020-11-20T13:13:00Z</dcterms:modified>
</cp:coreProperties>
</file>